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787C2" w14:textId="02A087CB" w:rsidR="00304A40" w:rsidRPr="00AC3CD2" w:rsidRDefault="00304A40" w:rsidP="00304A40">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24</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EA5FAF" w:rsidRPr="00EA5FAF">
        <w:rPr>
          <w:rFonts w:eastAsiaTheme="minorHAnsi" w:cs="Arial"/>
          <w:b/>
          <w:bCs/>
          <w:sz w:val="24"/>
          <w:szCs w:val="24"/>
          <w:lang w:val="en-US"/>
        </w:rPr>
        <w:t>R2-2312880</w:t>
      </w:r>
    </w:p>
    <w:p w14:paraId="296FF4D8" w14:textId="77777777" w:rsidR="00304A40" w:rsidRPr="00AC3CD2" w:rsidRDefault="00304A40" w:rsidP="00304A40">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Chicago</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USA, 13</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17</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November</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585BEA3B"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B86363">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FE1F7F" w:rsidRPr="00AC3CD2">
        <w:rPr>
          <w:rFonts w:cs="Arial"/>
          <w:b/>
          <w:bCs/>
          <w:sz w:val="24"/>
          <w:szCs w:val="24"/>
          <w:lang w:val="en-US"/>
        </w:rPr>
        <w:t>3</w:t>
      </w:r>
      <w:r w:rsidR="00C25F9C">
        <w:rPr>
          <w:rFonts w:cs="Arial"/>
          <w:b/>
          <w:bCs/>
          <w:sz w:val="24"/>
          <w:szCs w:val="24"/>
          <w:lang w:val="en-US"/>
        </w:rPr>
        <w:t>.1</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694E4800"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721F42">
        <w:rPr>
          <w:rFonts w:ascii="Arial" w:hAnsi="Arial" w:cs="Arial"/>
          <w:b/>
          <w:bCs/>
          <w:sz w:val="24"/>
          <w:szCs w:val="24"/>
        </w:rPr>
        <w:t xml:space="preserve">Fast </w:t>
      </w:r>
      <w:r w:rsidR="001505F3">
        <w:rPr>
          <w:rFonts w:ascii="Arial" w:hAnsi="Arial" w:cs="Arial"/>
          <w:b/>
          <w:bCs/>
          <w:sz w:val="24"/>
          <w:szCs w:val="24"/>
        </w:rPr>
        <w:t>RLF</w:t>
      </w:r>
      <w:r w:rsidR="002113B1">
        <w:rPr>
          <w:rFonts w:ascii="Arial" w:hAnsi="Arial" w:cs="Arial"/>
          <w:b/>
          <w:bCs/>
          <w:sz w:val="24"/>
          <w:szCs w:val="24"/>
        </w:rPr>
        <w:t xml:space="preserve"> and re-establishment</w:t>
      </w:r>
      <w:r w:rsidR="001505F3">
        <w:rPr>
          <w:rFonts w:ascii="Arial" w:hAnsi="Arial" w:cs="Arial"/>
          <w:b/>
          <w:bCs/>
          <w:sz w:val="24"/>
          <w:szCs w:val="24"/>
        </w:rPr>
        <w:t xml:space="preserve"> </w:t>
      </w:r>
      <w:r w:rsidR="00721F42">
        <w:rPr>
          <w:rFonts w:ascii="Arial" w:hAnsi="Arial" w:cs="Arial"/>
          <w:b/>
          <w:bCs/>
          <w:sz w:val="24"/>
          <w:szCs w:val="24"/>
        </w:rPr>
        <w:t>in the discontinuous coverag</w:t>
      </w:r>
      <w:r w:rsidR="002113B1">
        <w:rPr>
          <w:rFonts w:ascii="Arial" w:hAnsi="Arial" w:cs="Arial"/>
          <w:b/>
          <w:bCs/>
          <w:sz w:val="24"/>
          <w:szCs w:val="24"/>
        </w:rPr>
        <w:t xml:space="preserve">e </w:t>
      </w:r>
      <w:r w:rsidR="002E7822">
        <w:rPr>
          <w:rFonts w:ascii="Arial" w:hAnsi="Arial" w:cs="Arial"/>
          <w:b/>
          <w:bCs/>
          <w:sz w:val="24"/>
          <w:szCs w:val="24"/>
        </w:rPr>
        <w:t>scenario</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2D54A12C" w14:textId="77777777" w:rsidR="00F4087D" w:rsidRDefault="00F4087D" w:rsidP="00B474EC">
      <w:pPr>
        <w:rPr>
          <w:rFonts w:ascii="Arial" w:hAnsi="Arial" w:cs="Arial"/>
        </w:rPr>
      </w:pPr>
    </w:p>
    <w:p w14:paraId="6C29FF29" w14:textId="60612F57" w:rsidR="00F4087D" w:rsidRPr="00AC3CD2" w:rsidRDefault="00F4087D" w:rsidP="00B474EC">
      <w:pPr>
        <w:rPr>
          <w:rFonts w:ascii="Arial" w:hAnsi="Arial" w:cs="Arial"/>
        </w:rPr>
      </w:pPr>
      <w:r>
        <w:rPr>
          <w:rFonts w:ascii="Arial" w:hAnsi="Arial" w:cs="Arial"/>
        </w:rPr>
        <w:t xml:space="preserve">In RAN2#122 the following agreements were made </w:t>
      </w:r>
      <w:r>
        <w:rPr>
          <w:rFonts w:ascii="Arial" w:hAnsi="Arial" w:cs="Arial"/>
        </w:rPr>
        <w:fldChar w:fldCharType="begin"/>
      </w:r>
      <w:r>
        <w:rPr>
          <w:rFonts w:ascii="Arial" w:hAnsi="Arial" w:cs="Arial"/>
        </w:rPr>
        <w:instrText xml:space="preserve"> REF _Ref142395439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F4087D" w14:paraId="3C87A896" w14:textId="77777777" w:rsidTr="00F4087D">
        <w:tc>
          <w:tcPr>
            <w:tcW w:w="9629" w:type="dxa"/>
          </w:tcPr>
          <w:p w14:paraId="04441F60" w14:textId="77777777" w:rsidR="00F4087D" w:rsidRPr="00AC30C3" w:rsidRDefault="00F4087D" w:rsidP="004900BE">
            <w:pPr>
              <w:pStyle w:val="Doc-text2"/>
              <w:ind w:left="0" w:firstLine="0"/>
              <w:rPr>
                <w:u w:val="single"/>
              </w:rPr>
            </w:pPr>
            <w:r w:rsidRPr="00AC30C3">
              <w:rPr>
                <w:u w:val="single"/>
              </w:rPr>
              <w:t>Agreements:</w:t>
            </w:r>
          </w:p>
          <w:p w14:paraId="44744AE4" w14:textId="77777777" w:rsidR="00F4087D" w:rsidRPr="00AC30C3" w:rsidRDefault="00F4087D" w:rsidP="00F4087D">
            <w:pPr>
              <w:pStyle w:val="Agreement"/>
              <w:numPr>
                <w:ilvl w:val="0"/>
                <w:numId w:val="33"/>
              </w:numPr>
              <w:tabs>
                <w:tab w:val="num" w:pos="1619"/>
              </w:tabs>
              <w:rPr>
                <w:b w:val="0"/>
                <w:bCs/>
              </w:rPr>
            </w:pPr>
            <w:r w:rsidRPr="00AC30C3">
              <w:rPr>
                <w:b w:val="0"/>
                <w:bCs/>
              </w:rPr>
              <w:t>For earth-fixed cells, introduce t-</w:t>
            </w:r>
            <w:proofErr w:type="spellStart"/>
            <w:r w:rsidRPr="00AC30C3">
              <w:rPr>
                <w:b w:val="0"/>
                <w:bCs/>
              </w:rPr>
              <w:t>ServiceStart</w:t>
            </w:r>
            <w:proofErr w:type="spellEnd"/>
            <w:r w:rsidRPr="00AC30C3">
              <w:rPr>
                <w:b w:val="0"/>
                <w:bCs/>
              </w:rPr>
              <w:t xml:space="preserve"> for </w:t>
            </w:r>
            <w:proofErr w:type="spellStart"/>
            <w:r w:rsidRPr="00AC30C3">
              <w:rPr>
                <w:b w:val="0"/>
                <w:bCs/>
              </w:rPr>
              <w:t>neighbor</w:t>
            </w:r>
            <w:proofErr w:type="spellEnd"/>
            <w:r w:rsidRPr="00AC30C3">
              <w:rPr>
                <w:b w:val="0"/>
                <w:bCs/>
              </w:rPr>
              <w:t xml:space="preserve"> cells. If UE is aware of the t-</w:t>
            </w:r>
            <w:proofErr w:type="spellStart"/>
            <w:r w:rsidRPr="00AC30C3">
              <w:rPr>
                <w:b w:val="0"/>
                <w:bCs/>
              </w:rPr>
              <w:t>ServiceStart</w:t>
            </w:r>
            <w:proofErr w:type="spellEnd"/>
            <w:r w:rsidRPr="00AC30C3">
              <w:rPr>
                <w:b w:val="0"/>
                <w:bCs/>
              </w:rPr>
              <w:t xml:space="preserve"> of the neighbour </w:t>
            </w:r>
            <w:proofErr w:type="gramStart"/>
            <w:r w:rsidRPr="00AC30C3">
              <w:rPr>
                <w:b w:val="0"/>
                <w:bCs/>
              </w:rPr>
              <w:t>cell</w:t>
            </w:r>
            <w:proofErr w:type="gramEnd"/>
            <w:r w:rsidRPr="00AC30C3">
              <w:rPr>
                <w:b w:val="0"/>
                <w:bCs/>
              </w:rPr>
              <w:t xml:space="preserve"> then may be used (up to UE implementation) to determine when to start measurements of that </w:t>
            </w:r>
            <w:proofErr w:type="spellStart"/>
            <w:r w:rsidRPr="00AC30C3">
              <w:rPr>
                <w:b w:val="0"/>
                <w:bCs/>
              </w:rPr>
              <w:t>neighbor</w:t>
            </w:r>
            <w:proofErr w:type="spellEnd"/>
            <w:r w:rsidRPr="00AC30C3">
              <w:rPr>
                <w:b w:val="0"/>
                <w:bCs/>
              </w:rPr>
              <w:t xml:space="preserve"> cell</w:t>
            </w:r>
          </w:p>
          <w:p w14:paraId="3C69DC54" w14:textId="77777777" w:rsidR="00F4087D" w:rsidRPr="00AC30C3" w:rsidRDefault="00F4087D" w:rsidP="00F4087D">
            <w:pPr>
              <w:pStyle w:val="Agreement"/>
              <w:numPr>
                <w:ilvl w:val="0"/>
                <w:numId w:val="33"/>
              </w:numPr>
              <w:tabs>
                <w:tab w:val="num" w:pos="1619"/>
              </w:tabs>
              <w:rPr>
                <w:b w:val="0"/>
                <w:bCs/>
              </w:rPr>
            </w:pPr>
            <w:r>
              <w:rPr>
                <w:b w:val="0"/>
                <w:bCs/>
              </w:rPr>
              <w:t>I</w:t>
            </w:r>
            <w:r w:rsidRPr="00AC30C3">
              <w:rPr>
                <w:b w:val="0"/>
                <w:bCs/>
              </w:rPr>
              <w:t>f the serving cell t-service expires, stop T310 (if running) and start T311 (</w:t>
            </w:r>
            <w:proofErr w:type="gramStart"/>
            <w:r w:rsidRPr="00AC30C3">
              <w:rPr>
                <w:b w:val="0"/>
                <w:bCs/>
              </w:rPr>
              <w:t>i.e.</w:t>
            </w:r>
            <w:proofErr w:type="gramEnd"/>
            <w:r w:rsidRPr="00AC30C3">
              <w:rPr>
                <w:b w:val="0"/>
                <w:bCs/>
              </w:rPr>
              <w:t xml:space="preserve"> perform cell search and re-establishment without attempting to recover on the current cell for the duration of T310). </w:t>
            </w:r>
            <w:r w:rsidRPr="001B6C2A">
              <w:rPr>
                <w:b w:val="0"/>
                <w:bCs/>
                <w:highlight w:val="yellow"/>
              </w:rPr>
              <w:t xml:space="preserve">FFS on discontinuous </w:t>
            </w:r>
            <w:proofErr w:type="gramStart"/>
            <w:r w:rsidRPr="001B6C2A">
              <w:rPr>
                <w:b w:val="0"/>
                <w:bCs/>
                <w:highlight w:val="yellow"/>
              </w:rPr>
              <w:t>coverage</w:t>
            </w:r>
            <w:proofErr w:type="gramEnd"/>
          </w:p>
          <w:p w14:paraId="443651A4" w14:textId="77777777" w:rsidR="00F4087D" w:rsidRPr="00AC30C3" w:rsidRDefault="00F4087D" w:rsidP="00F4087D">
            <w:pPr>
              <w:pStyle w:val="Agreement"/>
              <w:numPr>
                <w:ilvl w:val="0"/>
                <w:numId w:val="33"/>
              </w:numPr>
              <w:tabs>
                <w:tab w:val="num" w:pos="1619"/>
              </w:tabs>
              <w:rPr>
                <w:b w:val="0"/>
                <w:bCs/>
              </w:rPr>
            </w:pPr>
            <w:r w:rsidRPr="00AC30C3">
              <w:rPr>
                <w:b w:val="0"/>
                <w:bCs/>
              </w:rPr>
              <w:t>The distance between the UE and a second reference location (</w:t>
            </w:r>
            <w:proofErr w:type="gramStart"/>
            <w:r w:rsidRPr="00AC30C3">
              <w:rPr>
                <w:b w:val="0"/>
                <w:bCs/>
              </w:rPr>
              <w:t>e.g.</w:t>
            </w:r>
            <w:proofErr w:type="gramEnd"/>
            <w:r w:rsidRPr="00AC30C3">
              <w:rPr>
                <w:b w:val="0"/>
                <w:bCs/>
              </w:rPr>
              <w:t xml:space="preserve"> within a neighbour cell) is not taken into account.</w:t>
            </w:r>
          </w:p>
          <w:p w14:paraId="72E6D339" w14:textId="77777777" w:rsidR="00F4087D" w:rsidRDefault="00F4087D" w:rsidP="00F4087D">
            <w:pPr>
              <w:pStyle w:val="Agreement"/>
              <w:numPr>
                <w:ilvl w:val="0"/>
                <w:numId w:val="33"/>
              </w:numPr>
              <w:tabs>
                <w:tab w:val="num" w:pos="1619"/>
              </w:tabs>
              <w:rPr>
                <w:b w:val="0"/>
                <w:bCs/>
              </w:rPr>
            </w:pPr>
            <w:r w:rsidRPr="00AC30C3">
              <w:rPr>
                <w:b w:val="0"/>
                <w:bCs/>
              </w:rPr>
              <w:t xml:space="preserve">R18 location and </w:t>
            </w:r>
            <w:proofErr w:type="gramStart"/>
            <w:r w:rsidRPr="00AC30C3">
              <w:rPr>
                <w:b w:val="0"/>
                <w:bCs/>
              </w:rPr>
              <w:t>time based</w:t>
            </w:r>
            <w:proofErr w:type="gramEnd"/>
            <w:r w:rsidRPr="00AC30C3">
              <w:rPr>
                <w:b w:val="0"/>
                <w:bCs/>
              </w:rPr>
              <w:t xml:space="preserve"> trigger for measurements (for connected mode and for idle) apply to both NB-IoT and </w:t>
            </w:r>
            <w:proofErr w:type="spellStart"/>
            <w:r w:rsidRPr="00AC30C3">
              <w:rPr>
                <w:b w:val="0"/>
                <w:bCs/>
              </w:rPr>
              <w:t>eMTC</w:t>
            </w:r>
            <w:proofErr w:type="spellEnd"/>
            <w:r w:rsidRPr="00AC30C3">
              <w:rPr>
                <w:b w:val="0"/>
                <w:bCs/>
              </w:rPr>
              <w:t>.</w:t>
            </w:r>
          </w:p>
          <w:p w14:paraId="250B45F6" w14:textId="77777777" w:rsidR="00F4087D" w:rsidRDefault="00F4087D" w:rsidP="00E06B61">
            <w:pPr>
              <w:jc w:val="both"/>
              <w:rPr>
                <w:rFonts w:ascii="Arial" w:hAnsi="Arial" w:cs="Arial"/>
              </w:rPr>
            </w:pPr>
          </w:p>
        </w:tc>
      </w:tr>
    </w:tbl>
    <w:p w14:paraId="5A78215E" w14:textId="77777777" w:rsidR="00B474EC" w:rsidRDefault="00B474EC" w:rsidP="00E06B61">
      <w:pPr>
        <w:jc w:val="both"/>
        <w:rPr>
          <w:rFonts w:ascii="Arial" w:hAnsi="Arial" w:cs="Arial"/>
        </w:rPr>
      </w:pPr>
    </w:p>
    <w:p w14:paraId="552A99B5" w14:textId="7C97D4E5" w:rsidR="0030215B" w:rsidRPr="00AC3CD2" w:rsidRDefault="00B474E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B474EC">
        <w:rPr>
          <w:rFonts w:ascii="Arial" w:hAnsi="Arial" w:cs="Arial"/>
        </w:rPr>
        <w:t xml:space="preserve">Neighbour cell measurements before RLF in NB-IoT </w:t>
      </w:r>
    </w:p>
    <w:p w14:paraId="12F43762" w14:textId="21943594" w:rsidR="00AB3F45" w:rsidRDefault="00F4087D" w:rsidP="00AB3F45">
      <w:pPr>
        <w:rPr>
          <w:rFonts w:ascii="Arial" w:hAnsi="Arial" w:cs="Arial"/>
        </w:rPr>
      </w:pPr>
      <w:r>
        <w:rPr>
          <w:rFonts w:ascii="Arial" w:hAnsi="Arial" w:cs="Arial"/>
          <w:lang w:val="en-US"/>
        </w:rPr>
        <w:t>As per the agreements in the previous meeting, the IoT-NTN UE in R18</w:t>
      </w:r>
      <w:r w:rsidR="005E6168">
        <w:rPr>
          <w:rFonts w:ascii="Arial" w:hAnsi="Arial" w:cs="Arial"/>
        </w:rPr>
        <w:t xml:space="preserve"> </w:t>
      </w:r>
      <w:r w:rsidR="003B611F">
        <w:rPr>
          <w:rFonts w:ascii="Arial" w:hAnsi="Arial" w:cs="Arial"/>
        </w:rPr>
        <w:t>may use t-</w:t>
      </w:r>
      <w:proofErr w:type="spellStart"/>
      <w:r w:rsidR="003B611F">
        <w:rPr>
          <w:rFonts w:ascii="Arial" w:hAnsi="Arial" w:cs="Arial"/>
        </w:rPr>
        <w:t>ServiceStart</w:t>
      </w:r>
      <w:proofErr w:type="spellEnd"/>
      <w:r w:rsidR="003B611F">
        <w:rPr>
          <w:rFonts w:ascii="Arial" w:hAnsi="Arial" w:cs="Arial"/>
        </w:rPr>
        <w:t xml:space="preserve"> for </w:t>
      </w:r>
      <w:proofErr w:type="spellStart"/>
      <w:r w:rsidR="003B611F">
        <w:rPr>
          <w:rFonts w:ascii="Arial" w:hAnsi="Arial" w:cs="Arial"/>
        </w:rPr>
        <w:t>neigbour</w:t>
      </w:r>
      <w:proofErr w:type="spellEnd"/>
      <w:r w:rsidR="003B611F">
        <w:rPr>
          <w:rFonts w:ascii="Arial" w:hAnsi="Arial" w:cs="Arial"/>
        </w:rPr>
        <w:t xml:space="preserve"> cells to determine when to start measurement for that neighbour cell. In addition, if the serving cell t-service expires then UE stops T310 (if running) and starts T311 (</w:t>
      </w:r>
      <w:proofErr w:type="gramStart"/>
      <w:r w:rsidR="003B611F">
        <w:rPr>
          <w:rFonts w:ascii="Arial" w:hAnsi="Arial" w:cs="Arial"/>
        </w:rPr>
        <w:t>i.e.</w:t>
      </w:r>
      <w:proofErr w:type="gramEnd"/>
      <w:r w:rsidR="003B611F">
        <w:rPr>
          <w:rFonts w:ascii="Arial" w:hAnsi="Arial" w:cs="Arial"/>
        </w:rPr>
        <w:t xml:space="preserve"> to perform the re-establishment), </w:t>
      </w:r>
      <w:r w:rsidR="005E6168">
        <w:rPr>
          <w:rFonts w:ascii="Arial" w:hAnsi="Arial" w:cs="Arial"/>
        </w:rPr>
        <w:t xml:space="preserve">for example as shown in figure </w:t>
      </w:r>
      <w:r w:rsidR="003B611F">
        <w:rPr>
          <w:rFonts w:ascii="Arial" w:hAnsi="Arial" w:cs="Arial"/>
        </w:rPr>
        <w:t>1</w:t>
      </w:r>
      <w:r w:rsidR="005E6168">
        <w:rPr>
          <w:rFonts w:ascii="Arial" w:hAnsi="Arial" w:cs="Arial"/>
        </w:rPr>
        <w:t>.</w:t>
      </w:r>
    </w:p>
    <w:p w14:paraId="41A0F431" w14:textId="066FA8EA" w:rsidR="00F802F6" w:rsidRDefault="005E6168" w:rsidP="0093396F">
      <w:pPr>
        <w:jc w:val="center"/>
        <w:rPr>
          <w:rFonts w:ascii="Arial" w:hAnsi="Arial" w:cs="Arial"/>
        </w:rPr>
      </w:pPr>
      <w:r>
        <w:rPr>
          <w:rFonts w:ascii="Arial" w:hAnsi="Arial" w:cs="Arial"/>
          <w:noProof/>
        </w:rPr>
        <w:drawing>
          <wp:inline distT="0" distB="0" distL="0" distR="0" wp14:anchorId="09CFA0FE" wp14:editId="391D4E70">
            <wp:extent cx="4812872" cy="296969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5085" cy="2971064"/>
                    </a:xfrm>
                    <a:prstGeom prst="rect">
                      <a:avLst/>
                    </a:prstGeom>
                    <a:noFill/>
                  </pic:spPr>
                </pic:pic>
              </a:graphicData>
            </a:graphic>
          </wp:inline>
        </w:drawing>
      </w:r>
    </w:p>
    <w:p w14:paraId="27AA8404" w14:textId="4DD82670" w:rsidR="005E6168" w:rsidRDefault="005E6168" w:rsidP="005E6168">
      <w:pPr>
        <w:jc w:val="center"/>
        <w:rPr>
          <w:rFonts w:ascii="Arial" w:hAnsi="Arial" w:cs="Arial"/>
          <w:b/>
          <w:bCs/>
          <w:lang w:val="en-US"/>
        </w:rPr>
      </w:pPr>
      <w:r w:rsidRPr="001123B7">
        <w:rPr>
          <w:rFonts w:ascii="Arial" w:hAnsi="Arial" w:cs="Arial"/>
          <w:b/>
          <w:bCs/>
          <w:lang w:val="en-US"/>
        </w:rPr>
        <w:t xml:space="preserve">Figure </w:t>
      </w:r>
      <w:r w:rsidR="003B611F">
        <w:rPr>
          <w:rFonts w:ascii="Arial" w:hAnsi="Arial" w:cs="Arial"/>
          <w:b/>
          <w:bCs/>
          <w:lang w:val="en-US"/>
        </w:rPr>
        <w:t>1</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w:t>
      </w:r>
      <w:r>
        <w:rPr>
          <w:rFonts w:ascii="Arial" w:hAnsi="Arial" w:cs="Arial"/>
          <w:b/>
          <w:bCs/>
          <w:lang w:val="en-US"/>
        </w:rPr>
        <w:t xml:space="preserve">for IoT-NTN </w:t>
      </w:r>
      <w:r w:rsidRPr="001123B7">
        <w:rPr>
          <w:rFonts w:ascii="Arial" w:hAnsi="Arial" w:cs="Arial"/>
          <w:b/>
          <w:bCs/>
          <w:lang w:val="en-US"/>
        </w:rPr>
        <w:t>in Rel-1</w:t>
      </w:r>
      <w:r>
        <w:rPr>
          <w:rFonts w:ascii="Arial" w:hAnsi="Arial" w:cs="Arial"/>
          <w:b/>
          <w:bCs/>
          <w:lang w:val="en-US"/>
        </w:rPr>
        <w:t>8</w:t>
      </w:r>
      <w:r w:rsidR="001E5949">
        <w:rPr>
          <w:rFonts w:ascii="Arial" w:hAnsi="Arial" w:cs="Arial"/>
          <w:b/>
          <w:bCs/>
          <w:lang w:val="en-US"/>
        </w:rPr>
        <w:t xml:space="preserve"> overlapping </w:t>
      </w:r>
      <w:proofErr w:type="gramStart"/>
      <w:r w:rsidR="001E5949">
        <w:rPr>
          <w:rFonts w:ascii="Arial" w:hAnsi="Arial" w:cs="Arial"/>
          <w:b/>
          <w:bCs/>
          <w:lang w:val="en-US"/>
        </w:rPr>
        <w:t>coverage</w:t>
      </w:r>
      <w:proofErr w:type="gramEnd"/>
    </w:p>
    <w:p w14:paraId="2FDF64E0" w14:textId="77777777" w:rsidR="005E6168" w:rsidRPr="001123B7" w:rsidRDefault="005E6168" w:rsidP="005E6168">
      <w:pPr>
        <w:jc w:val="center"/>
        <w:rPr>
          <w:rFonts w:ascii="Arial" w:hAnsi="Arial" w:cs="Arial"/>
          <w:b/>
          <w:bCs/>
          <w:lang w:val="en-US"/>
        </w:rPr>
      </w:pPr>
    </w:p>
    <w:p w14:paraId="34963D68" w14:textId="42BF8038" w:rsidR="003B611F" w:rsidRDefault="003B611F" w:rsidP="00ED5855">
      <w:pPr>
        <w:rPr>
          <w:rFonts w:ascii="Arial" w:hAnsi="Arial" w:cs="Arial"/>
          <w:b/>
          <w:bCs/>
        </w:rPr>
      </w:pPr>
    </w:p>
    <w:p w14:paraId="55160EB1" w14:textId="181C5DB8" w:rsidR="00ED5855" w:rsidRDefault="003B611F" w:rsidP="00ED5855">
      <w:pPr>
        <w:rPr>
          <w:rFonts w:ascii="Arial" w:hAnsi="Arial" w:cs="Arial"/>
        </w:rPr>
      </w:pPr>
      <w:r w:rsidRPr="004900BE">
        <w:rPr>
          <w:rFonts w:ascii="Arial" w:hAnsi="Arial" w:cs="Arial"/>
        </w:rPr>
        <w:t>For the discontinuous coverage case</w:t>
      </w:r>
      <w:r w:rsidR="00ED5855" w:rsidRPr="004900BE">
        <w:rPr>
          <w:rFonts w:ascii="Arial" w:hAnsi="Arial" w:cs="Arial"/>
        </w:rPr>
        <w:t xml:space="preserve"> </w:t>
      </w:r>
      <w:r w:rsidRPr="004900BE">
        <w:rPr>
          <w:rFonts w:ascii="Arial" w:hAnsi="Arial" w:cs="Arial"/>
        </w:rPr>
        <w:t xml:space="preserve">it is FFS what behaviour to apply. We think </w:t>
      </w:r>
      <w:r w:rsidR="001E5949">
        <w:rPr>
          <w:rFonts w:ascii="Arial" w:hAnsi="Arial" w:cs="Arial"/>
        </w:rPr>
        <w:t>similar</w:t>
      </w:r>
      <w:r w:rsidRPr="004900BE">
        <w:rPr>
          <w:rFonts w:ascii="Arial" w:hAnsi="Arial" w:cs="Arial"/>
        </w:rPr>
        <w:t xml:space="preserve"> behaviour can apply for discontinuous coverage. By </w:t>
      </w:r>
      <w:proofErr w:type="gramStart"/>
      <w:r w:rsidRPr="004900BE">
        <w:rPr>
          <w:rFonts w:ascii="Arial" w:hAnsi="Arial" w:cs="Arial"/>
        </w:rPr>
        <w:t>taking into account</w:t>
      </w:r>
      <w:proofErr w:type="gramEnd"/>
      <w:r w:rsidRPr="004900BE">
        <w:rPr>
          <w:rFonts w:ascii="Arial" w:hAnsi="Arial" w:cs="Arial"/>
        </w:rPr>
        <w:t xml:space="preserve"> the serving cell t-service as well as the neighbour cell t-service start in the same way as agreed for overlapping coverage case, the coverage gap can be accounted for naturally, for example as shown in figure 2.</w:t>
      </w:r>
    </w:p>
    <w:p w14:paraId="3F4587FE" w14:textId="77777777" w:rsidR="001E5949" w:rsidRDefault="001E5949" w:rsidP="00ED5855">
      <w:pPr>
        <w:rPr>
          <w:rFonts w:ascii="Arial" w:hAnsi="Arial" w:cs="Arial"/>
        </w:rPr>
      </w:pPr>
    </w:p>
    <w:p w14:paraId="376657D8" w14:textId="5D9A6EE1" w:rsidR="001E5949" w:rsidRPr="004900BE" w:rsidRDefault="001E5949" w:rsidP="004900BE">
      <w:pPr>
        <w:jc w:val="center"/>
        <w:rPr>
          <w:rFonts w:ascii="Arial" w:hAnsi="Arial" w:cs="Arial"/>
        </w:rPr>
      </w:pPr>
      <w:r>
        <w:rPr>
          <w:rFonts w:ascii="Arial" w:hAnsi="Arial" w:cs="Arial"/>
          <w:noProof/>
        </w:rPr>
        <w:drawing>
          <wp:inline distT="0" distB="0" distL="0" distR="0" wp14:anchorId="178DFF16" wp14:editId="09FFE5BE">
            <wp:extent cx="5943600" cy="248900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6421" cy="2502749"/>
                    </a:xfrm>
                    <a:prstGeom prst="rect">
                      <a:avLst/>
                    </a:prstGeom>
                    <a:noFill/>
                  </pic:spPr>
                </pic:pic>
              </a:graphicData>
            </a:graphic>
          </wp:inline>
        </w:drawing>
      </w:r>
    </w:p>
    <w:p w14:paraId="3BCFCDAD" w14:textId="2F11EBF7" w:rsidR="003B611F" w:rsidRDefault="001E5949" w:rsidP="004900BE">
      <w:pPr>
        <w:jc w:val="center"/>
        <w:rPr>
          <w:rFonts w:ascii="Arial" w:hAnsi="Arial" w:cs="Arial"/>
          <w:b/>
          <w:bCs/>
        </w:rPr>
      </w:pPr>
      <w:r w:rsidRPr="001123B7">
        <w:rPr>
          <w:rFonts w:ascii="Arial" w:hAnsi="Arial" w:cs="Arial"/>
          <w:b/>
          <w:bCs/>
          <w:lang w:val="en-US"/>
        </w:rPr>
        <w:t xml:space="preserve">Figure </w:t>
      </w:r>
      <w:r>
        <w:rPr>
          <w:rFonts w:ascii="Arial" w:hAnsi="Arial" w:cs="Arial"/>
          <w:b/>
          <w:bCs/>
          <w:lang w:val="en-US"/>
        </w:rPr>
        <w:t>2</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w:t>
      </w:r>
      <w:r>
        <w:rPr>
          <w:rFonts w:ascii="Arial" w:hAnsi="Arial" w:cs="Arial"/>
          <w:b/>
          <w:bCs/>
          <w:lang w:val="en-US"/>
        </w:rPr>
        <w:t xml:space="preserve">for IoT-NTN </w:t>
      </w:r>
      <w:r w:rsidRPr="001123B7">
        <w:rPr>
          <w:rFonts w:ascii="Arial" w:hAnsi="Arial" w:cs="Arial"/>
          <w:b/>
          <w:bCs/>
          <w:lang w:val="en-US"/>
        </w:rPr>
        <w:t>in Rel-1</w:t>
      </w:r>
      <w:r>
        <w:rPr>
          <w:rFonts w:ascii="Arial" w:hAnsi="Arial" w:cs="Arial"/>
          <w:b/>
          <w:bCs/>
          <w:lang w:val="en-US"/>
        </w:rPr>
        <w:t>8 discontinuous coverage</w:t>
      </w:r>
    </w:p>
    <w:p w14:paraId="0E731F87" w14:textId="77777777" w:rsidR="003B611F" w:rsidRDefault="003B611F" w:rsidP="00ED5855">
      <w:pPr>
        <w:rPr>
          <w:rFonts w:ascii="Arial" w:hAnsi="Arial" w:cs="Arial"/>
          <w:b/>
          <w:bCs/>
        </w:rPr>
      </w:pPr>
    </w:p>
    <w:p w14:paraId="2A7EAC8E" w14:textId="77777777" w:rsidR="002E56B1" w:rsidRDefault="001E5949" w:rsidP="00ED5855">
      <w:pPr>
        <w:rPr>
          <w:rFonts w:ascii="Arial" w:hAnsi="Arial" w:cs="Arial"/>
        </w:rPr>
      </w:pPr>
      <w:r w:rsidRPr="004900BE">
        <w:rPr>
          <w:rFonts w:ascii="Arial" w:hAnsi="Arial" w:cs="Arial"/>
        </w:rPr>
        <w:t xml:space="preserve">In the discontinuous coverage case, </w:t>
      </w:r>
      <w:proofErr w:type="gramStart"/>
      <w:r w:rsidRPr="004900BE">
        <w:rPr>
          <w:rFonts w:ascii="Arial" w:hAnsi="Arial" w:cs="Arial"/>
        </w:rPr>
        <w:t>similar to</w:t>
      </w:r>
      <w:proofErr w:type="gramEnd"/>
      <w:r w:rsidRPr="004900BE">
        <w:rPr>
          <w:rFonts w:ascii="Arial" w:hAnsi="Arial" w:cs="Arial"/>
        </w:rPr>
        <w:t xml:space="preserve"> the overlapping coverage case, there is no need to use T310 in order to attempt recovery on cell 1, because cell 1 is known to have stopped. </w:t>
      </w:r>
    </w:p>
    <w:p w14:paraId="4083C9E5" w14:textId="77777777" w:rsidR="002E56B1" w:rsidRDefault="002E56B1" w:rsidP="00ED5855">
      <w:pPr>
        <w:rPr>
          <w:rFonts w:ascii="Arial" w:hAnsi="Arial" w:cs="Arial"/>
        </w:rPr>
      </w:pPr>
    </w:p>
    <w:p w14:paraId="4107FAB5" w14:textId="13C9D1D6" w:rsidR="001E5949" w:rsidRDefault="001E5949" w:rsidP="00ED5855">
      <w:pPr>
        <w:rPr>
          <w:rFonts w:ascii="Arial" w:hAnsi="Arial" w:cs="Arial"/>
        </w:rPr>
      </w:pPr>
      <w:r w:rsidRPr="004900BE">
        <w:rPr>
          <w:rFonts w:ascii="Arial" w:hAnsi="Arial" w:cs="Arial"/>
        </w:rPr>
        <w:t xml:space="preserve">The only real difference between the cases is the start time of the new cell (cell 2). Since this occurs after a coverage gap, and not before t-Service of the serving cell, it makes no sense to trigger measurements before t-Service, and it makes no sense to start T311 immediately upon t-Service. Rather, T311 should </w:t>
      </w:r>
      <w:proofErr w:type="gramStart"/>
      <w:r w:rsidRPr="004900BE">
        <w:rPr>
          <w:rFonts w:ascii="Arial" w:hAnsi="Arial" w:cs="Arial"/>
        </w:rPr>
        <w:t>start</w:t>
      </w:r>
      <w:proofErr w:type="gramEnd"/>
      <w:r w:rsidRPr="004900BE">
        <w:rPr>
          <w:rFonts w:ascii="Arial" w:hAnsi="Arial" w:cs="Arial"/>
        </w:rPr>
        <w:t xml:space="preserve"> and measurements should be triggered after t-</w:t>
      </w:r>
      <w:proofErr w:type="spellStart"/>
      <w:r w:rsidRPr="004900BE">
        <w:rPr>
          <w:rFonts w:ascii="Arial" w:hAnsi="Arial" w:cs="Arial"/>
        </w:rPr>
        <w:t>ServiceStart</w:t>
      </w:r>
      <w:proofErr w:type="spellEnd"/>
      <w:r w:rsidRPr="004900BE">
        <w:rPr>
          <w:rFonts w:ascii="Arial" w:hAnsi="Arial" w:cs="Arial"/>
        </w:rPr>
        <w:t xml:space="preserve"> of the new cell.</w:t>
      </w:r>
    </w:p>
    <w:p w14:paraId="17407055" w14:textId="77777777" w:rsidR="002E56B1" w:rsidRDefault="002E56B1" w:rsidP="00ED5855">
      <w:pPr>
        <w:rPr>
          <w:rFonts w:ascii="Arial" w:hAnsi="Arial" w:cs="Arial"/>
        </w:rPr>
      </w:pPr>
    </w:p>
    <w:p w14:paraId="79E9CFC2" w14:textId="7C342C0A" w:rsidR="002E56B1" w:rsidRDefault="002E56B1" w:rsidP="00ED5855">
      <w:pPr>
        <w:rPr>
          <w:rFonts w:ascii="Arial" w:hAnsi="Arial" w:cs="Arial"/>
        </w:rPr>
      </w:pPr>
      <w:r>
        <w:rPr>
          <w:rFonts w:ascii="Arial" w:hAnsi="Arial" w:cs="Arial"/>
        </w:rPr>
        <w:t xml:space="preserve">Since it is already allowed for the UE to stop idle mode functions during a coverage gap, the main enhancement this provides is </w:t>
      </w:r>
      <w:r w:rsidR="00F60492">
        <w:rPr>
          <w:rFonts w:ascii="Arial" w:hAnsi="Arial" w:cs="Arial"/>
        </w:rPr>
        <w:t xml:space="preserve">to allow a faster re-establishment when coverage returns, because the UE does not need to start from RRC_IDLE and perform RRC establishment from scratch, </w:t>
      </w:r>
      <w:r w:rsidR="00C77ECA">
        <w:rPr>
          <w:rFonts w:ascii="Arial" w:hAnsi="Arial" w:cs="Arial"/>
        </w:rPr>
        <w:t xml:space="preserve">but can rather re-establish the connection, and also UE may not need to perform a cell search because the new cell is known in advance. </w:t>
      </w:r>
    </w:p>
    <w:p w14:paraId="7929A6AD" w14:textId="77777777" w:rsidR="00E11960" w:rsidRDefault="00E11960" w:rsidP="00ED5855">
      <w:pPr>
        <w:rPr>
          <w:rFonts w:ascii="Arial" w:hAnsi="Arial" w:cs="Arial"/>
        </w:rPr>
      </w:pPr>
    </w:p>
    <w:p w14:paraId="356BF730" w14:textId="28A66B41" w:rsidR="00E11960" w:rsidRPr="001B6C2A" w:rsidRDefault="00E11960" w:rsidP="00ED5855">
      <w:pPr>
        <w:rPr>
          <w:rFonts w:ascii="Arial" w:hAnsi="Arial" w:cs="Arial"/>
          <w:b/>
          <w:bCs/>
        </w:rPr>
      </w:pPr>
      <w:r w:rsidRPr="001B6C2A">
        <w:rPr>
          <w:rFonts w:ascii="Arial" w:hAnsi="Arial" w:cs="Arial"/>
          <w:b/>
          <w:bCs/>
        </w:rPr>
        <w:t xml:space="preserve">Proposal 1: To allow faster RLF recovery after a coverage gap, </w:t>
      </w:r>
      <w:r w:rsidR="00927999">
        <w:rPr>
          <w:rFonts w:ascii="Arial" w:hAnsi="Arial" w:cs="Arial"/>
          <w:b/>
          <w:bCs/>
        </w:rPr>
        <w:t xml:space="preserve">fast RLF recovery </w:t>
      </w:r>
      <w:r w:rsidR="00880454" w:rsidRPr="001B6C2A">
        <w:rPr>
          <w:rFonts w:ascii="Arial" w:hAnsi="Arial" w:cs="Arial"/>
          <w:b/>
          <w:bCs/>
        </w:rPr>
        <w:t xml:space="preserve">behaviours agreed for the continuous coverage case </w:t>
      </w:r>
      <w:r w:rsidR="005B3B64" w:rsidRPr="001B6C2A">
        <w:rPr>
          <w:rFonts w:ascii="Arial" w:hAnsi="Arial" w:cs="Arial"/>
          <w:b/>
          <w:bCs/>
        </w:rPr>
        <w:t xml:space="preserve">should be </w:t>
      </w:r>
      <w:r w:rsidR="00027021">
        <w:rPr>
          <w:rFonts w:ascii="Arial" w:hAnsi="Arial" w:cs="Arial"/>
          <w:b/>
          <w:bCs/>
        </w:rPr>
        <w:t>adapted</w:t>
      </w:r>
      <w:r w:rsidR="005B3B64" w:rsidRPr="001B6C2A">
        <w:rPr>
          <w:rFonts w:ascii="Arial" w:hAnsi="Arial" w:cs="Arial"/>
          <w:b/>
          <w:bCs/>
        </w:rPr>
        <w:t xml:space="preserve"> to </w:t>
      </w:r>
      <w:r w:rsidR="00027021">
        <w:rPr>
          <w:rFonts w:ascii="Arial" w:hAnsi="Arial" w:cs="Arial"/>
          <w:b/>
          <w:bCs/>
        </w:rPr>
        <w:t xml:space="preserve">also cover the discontinuous coverage </w:t>
      </w:r>
      <w:r w:rsidR="005B3B64" w:rsidRPr="001B6C2A">
        <w:rPr>
          <w:rFonts w:ascii="Arial" w:hAnsi="Arial" w:cs="Arial"/>
          <w:b/>
          <w:bCs/>
        </w:rPr>
        <w:t>case.</w:t>
      </w:r>
    </w:p>
    <w:p w14:paraId="67CEF198" w14:textId="77777777" w:rsidR="001E5949" w:rsidRDefault="001E5949" w:rsidP="00ED5855">
      <w:pPr>
        <w:rPr>
          <w:rFonts w:ascii="Arial" w:hAnsi="Arial" w:cs="Arial"/>
        </w:rPr>
      </w:pPr>
    </w:p>
    <w:p w14:paraId="5B8855E7" w14:textId="40F795B4" w:rsidR="00C77ECA" w:rsidRDefault="00C77ECA" w:rsidP="00ED5855">
      <w:pPr>
        <w:rPr>
          <w:rFonts w:ascii="Arial" w:hAnsi="Arial" w:cs="Arial"/>
        </w:rPr>
      </w:pPr>
    </w:p>
    <w:p w14:paraId="65AD13B0" w14:textId="7C85C6F4" w:rsidR="001E5949" w:rsidRDefault="001E5949" w:rsidP="00ED5855">
      <w:pPr>
        <w:rPr>
          <w:bCs/>
        </w:rPr>
      </w:pPr>
      <w:r>
        <w:rPr>
          <w:rFonts w:ascii="Arial" w:hAnsi="Arial" w:cs="Arial"/>
        </w:rPr>
        <w:t>One of the agreements from the previous meeting</w:t>
      </w:r>
      <w:r w:rsidR="005B3B64">
        <w:rPr>
          <w:rFonts w:ascii="Arial" w:hAnsi="Arial" w:cs="Arial"/>
        </w:rPr>
        <w:t xml:space="preserve"> already</w:t>
      </w:r>
      <w:r>
        <w:rPr>
          <w:rFonts w:ascii="Arial" w:hAnsi="Arial" w:cs="Arial"/>
        </w:rPr>
        <w:t xml:space="preserve"> allows the UE to trigger measurements only after the coverage gaps: </w:t>
      </w:r>
      <w:r w:rsidRPr="004900BE">
        <w:rPr>
          <w:bCs/>
          <w:i/>
          <w:iCs/>
        </w:rPr>
        <w:t xml:space="preserve">If UE is aware of the </w:t>
      </w:r>
      <w:r w:rsidRPr="004900BE">
        <w:rPr>
          <w:bCs/>
          <w:i/>
          <w:iCs/>
          <w:highlight w:val="yellow"/>
        </w:rPr>
        <w:t>t-</w:t>
      </w:r>
      <w:proofErr w:type="spellStart"/>
      <w:r w:rsidRPr="004900BE">
        <w:rPr>
          <w:bCs/>
          <w:i/>
          <w:iCs/>
          <w:highlight w:val="yellow"/>
        </w:rPr>
        <w:t>ServiceStart</w:t>
      </w:r>
      <w:proofErr w:type="spellEnd"/>
      <w:r w:rsidRPr="004900BE">
        <w:rPr>
          <w:bCs/>
          <w:i/>
          <w:iCs/>
          <w:highlight w:val="yellow"/>
        </w:rPr>
        <w:t xml:space="preserve"> of the neighbour cell then may be used (up to UE implementation) to determine when to start measurements of that </w:t>
      </w:r>
      <w:proofErr w:type="spellStart"/>
      <w:r w:rsidRPr="004900BE">
        <w:rPr>
          <w:bCs/>
          <w:i/>
          <w:iCs/>
          <w:highlight w:val="yellow"/>
        </w:rPr>
        <w:t>neighbor</w:t>
      </w:r>
      <w:proofErr w:type="spellEnd"/>
      <w:r w:rsidRPr="004900BE">
        <w:rPr>
          <w:bCs/>
          <w:i/>
          <w:iCs/>
          <w:highlight w:val="yellow"/>
        </w:rPr>
        <w:t xml:space="preserve"> </w:t>
      </w:r>
      <w:proofErr w:type="gramStart"/>
      <w:r w:rsidRPr="004900BE">
        <w:rPr>
          <w:bCs/>
          <w:i/>
          <w:iCs/>
          <w:highlight w:val="yellow"/>
        </w:rPr>
        <w:t>cell</w:t>
      </w:r>
      <w:proofErr w:type="gramEnd"/>
    </w:p>
    <w:p w14:paraId="04E09418" w14:textId="77777777" w:rsidR="001E5949" w:rsidRDefault="001E5949" w:rsidP="00ED5855">
      <w:pPr>
        <w:rPr>
          <w:rFonts w:ascii="Arial" w:hAnsi="Arial" w:cs="Arial"/>
        </w:rPr>
      </w:pPr>
    </w:p>
    <w:p w14:paraId="7412B9BF" w14:textId="270F1AEB" w:rsidR="001E5949" w:rsidRDefault="001E5949" w:rsidP="00ED5855">
      <w:pPr>
        <w:rPr>
          <w:rFonts w:ascii="Arial" w:hAnsi="Arial" w:cs="Arial"/>
        </w:rPr>
      </w:pPr>
      <w:r>
        <w:rPr>
          <w:rFonts w:ascii="Arial" w:hAnsi="Arial" w:cs="Arial"/>
        </w:rPr>
        <w:t>In other words, if the UE knows the t-</w:t>
      </w:r>
      <w:proofErr w:type="spellStart"/>
      <w:r>
        <w:rPr>
          <w:rFonts w:ascii="Arial" w:hAnsi="Arial" w:cs="Arial"/>
        </w:rPr>
        <w:t>ServiceStart</w:t>
      </w:r>
      <w:proofErr w:type="spellEnd"/>
      <w:r>
        <w:rPr>
          <w:rFonts w:ascii="Arial" w:hAnsi="Arial" w:cs="Arial"/>
        </w:rPr>
        <w:t xml:space="preserve"> is after a coverage gap, then UE may avoid triggering measurements before RLF and trigger only after the coverage gap.</w:t>
      </w:r>
    </w:p>
    <w:p w14:paraId="48EB86B9" w14:textId="77777777" w:rsidR="001E5949" w:rsidRDefault="001E5949" w:rsidP="00ED5855">
      <w:pPr>
        <w:rPr>
          <w:rFonts w:ascii="Arial" w:hAnsi="Arial" w:cs="Arial"/>
        </w:rPr>
      </w:pPr>
    </w:p>
    <w:p w14:paraId="5A659A93" w14:textId="61DBE165" w:rsidR="001E5949" w:rsidRDefault="001E5949" w:rsidP="00ED5855">
      <w:pPr>
        <w:rPr>
          <w:rFonts w:ascii="Arial" w:hAnsi="Arial" w:cs="Arial"/>
        </w:rPr>
      </w:pPr>
      <w:r>
        <w:rPr>
          <w:rFonts w:ascii="Arial" w:hAnsi="Arial" w:cs="Arial"/>
        </w:rPr>
        <w:t>Regarding RLF and re-establishment handling, the agreement from the previous meeting is as follows:</w:t>
      </w:r>
    </w:p>
    <w:p w14:paraId="6F168B66" w14:textId="77777777" w:rsidR="001E5949" w:rsidRPr="00AC30C3" w:rsidRDefault="001E5949" w:rsidP="001E5949">
      <w:pPr>
        <w:pStyle w:val="Agreement"/>
        <w:numPr>
          <w:ilvl w:val="0"/>
          <w:numId w:val="33"/>
        </w:numPr>
        <w:tabs>
          <w:tab w:val="num" w:pos="1619"/>
        </w:tabs>
        <w:rPr>
          <w:b w:val="0"/>
          <w:bCs/>
        </w:rPr>
      </w:pPr>
      <w:r>
        <w:rPr>
          <w:b w:val="0"/>
          <w:bCs/>
        </w:rPr>
        <w:t>I</w:t>
      </w:r>
      <w:r w:rsidRPr="00AC30C3">
        <w:rPr>
          <w:b w:val="0"/>
          <w:bCs/>
        </w:rPr>
        <w:t>f the serving cell t-service expires, stop T310 (if running) and start T311 (</w:t>
      </w:r>
      <w:proofErr w:type="gramStart"/>
      <w:r w:rsidRPr="00AC30C3">
        <w:rPr>
          <w:b w:val="0"/>
          <w:bCs/>
        </w:rPr>
        <w:t>i.e.</w:t>
      </w:r>
      <w:proofErr w:type="gramEnd"/>
      <w:r w:rsidRPr="00AC30C3">
        <w:rPr>
          <w:b w:val="0"/>
          <w:bCs/>
        </w:rPr>
        <w:t xml:space="preserve"> perform cell search and re-establishment without attempting to recover on the current cell for the duration of T310). FFS on discontinuous </w:t>
      </w:r>
      <w:proofErr w:type="gramStart"/>
      <w:r w:rsidRPr="00AC30C3">
        <w:rPr>
          <w:b w:val="0"/>
          <w:bCs/>
        </w:rPr>
        <w:t>coverage</w:t>
      </w:r>
      <w:proofErr w:type="gramEnd"/>
    </w:p>
    <w:p w14:paraId="31002EF7" w14:textId="77777777" w:rsidR="001E5949" w:rsidRDefault="001E5949" w:rsidP="00ED5855">
      <w:pPr>
        <w:rPr>
          <w:rFonts w:ascii="Arial" w:hAnsi="Arial" w:cs="Arial"/>
        </w:rPr>
      </w:pPr>
    </w:p>
    <w:p w14:paraId="430C7F4F" w14:textId="67FF99E9" w:rsidR="001E5949" w:rsidRDefault="001E5949" w:rsidP="00ED5855">
      <w:pPr>
        <w:rPr>
          <w:rFonts w:ascii="Arial" w:hAnsi="Arial" w:cs="Arial"/>
        </w:rPr>
      </w:pPr>
      <w:r>
        <w:rPr>
          <w:rFonts w:ascii="Arial" w:hAnsi="Arial" w:cs="Arial"/>
        </w:rPr>
        <w:t xml:space="preserve">The first part should also apply to discontinuous coverage, </w:t>
      </w:r>
      <w:proofErr w:type="gramStart"/>
      <w:r>
        <w:rPr>
          <w:rFonts w:ascii="Arial" w:hAnsi="Arial" w:cs="Arial"/>
        </w:rPr>
        <w:t>i.e. :</w:t>
      </w:r>
      <w:proofErr w:type="gramEnd"/>
      <w:r>
        <w:rPr>
          <w:rFonts w:ascii="Arial" w:hAnsi="Arial" w:cs="Arial"/>
        </w:rPr>
        <w:t xml:space="preserve"> </w:t>
      </w:r>
      <w:r>
        <w:rPr>
          <w:bCs/>
        </w:rPr>
        <w:t>I</w:t>
      </w:r>
      <w:r w:rsidRPr="00AC30C3">
        <w:rPr>
          <w:bCs/>
        </w:rPr>
        <w:t>f the serving cell t-service expires, stop T310 (if running)</w:t>
      </w:r>
    </w:p>
    <w:p w14:paraId="75C3BA47" w14:textId="77777777" w:rsidR="001E5949" w:rsidRDefault="001E5949" w:rsidP="00ED5855">
      <w:pPr>
        <w:rPr>
          <w:rFonts w:ascii="Arial" w:hAnsi="Arial" w:cs="Arial"/>
        </w:rPr>
      </w:pPr>
    </w:p>
    <w:p w14:paraId="65918474" w14:textId="77777777" w:rsidR="00C3762F" w:rsidRDefault="001E5949" w:rsidP="00ED5855">
      <w:pPr>
        <w:rPr>
          <w:bCs/>
          <w:color w:val="FF0000"/>
          <w:u w:val="single"/>
        </w:rPr>
      </w:pPr>
      <w:r>
        <w:rPr>
          <w:rFonts w:ascii="Arial" w:hAnsi="Arial" w:cs="Arial"/>
        </w:rPr>
        <w:t>The second part should be modified to</w:t>
      </w:r>
      <w:r w:rsidR="00C3762F">
        <w:rPr>
          <w:rFonts w:ascii="Arial" w:hAnsi="Arial" w:cs="Arial"/>
        </w:rPr>
        <w:t xml:space="preserve"> </w:t>
      </w:r>
      <w:r>
        <w:rPr>
          <w:rFonts w:ascii="Arial" w:hAnsi="Arial" w:cs="Arial"/>
        </w:rPr>
        <w:t xml:space="preserve">support discontinuous coverage: </w:t>
      </w:r>
      <w:r w:rsidRPr="00AC30C3">
        <w:rPr>
          <w:bCs/>
        </w:rPr>
        <w:t>and start T311 (</w:t>
      </w:r>
      <w:proofErr w:type="gramStart"/>
      <w:r w:rsidRPr="00AC30C3">
        <w:rPr>
          <w:bCs/>
        </w:rPr>
        <w:t>i.e.</w:t>
      </w:r>
      <w:proofErr w:type="gramEnd"/>
      <w:r w:rsidRPr="00AC30C3">
        <w:rPr>
          <w:bCs/>
        </w:rPr>
        <w:t xml:space="preserve"> perform cell search and re-establishment without attempting to recover on the current cell for the duration of T310)</w:t>
      </w:r>
      <w:r>
        <w:rPr>
          <w:bCs/>
        </w:rPr>
        <w:t xml:space="preserve"> </w:t>
      </w:r>
      <w:r w:rsidR="00C3762F" w:rsidRPr="00C3762F">
        <w:rPr>
          <w:bCs/>
          <w:color w:val="FF0000"/>
          <w:u w:val="single"/>
        </w:rPr>
        <w:t>upon t-</w:t>
      </w:r>
      <w:proofErr w:type="spellStart"/>
      <w:r w:rsidR="00C3762F" w:rsidRPr="00C3762F">
        <w:rPr>
          <w:bCs/>
          <w:color w:val="FF0000"/>
          <w:u w:val="single"/>
        </w:rPr>
        <w:t>ServiceStart</w:t>
      </w:r>
      <w:proofErr w:type="spellEnd"/>
      <w:r w:rsidR="00C3762F" w:rsidRPr="00C3762F">
        <w:rPr>
          <w:bCs/>
          <w:color w:val="FF0000"/>
          <w:u w:val="single"/>
        </w:rPr>
        <w:t xml:space="preserve"> of the upcoming cell.</w:t>
      </w:r>
    </w:p>
    <w:p w14:paraId="1BF7DE1C" w14:textId="77777777" w:rsidR="00C3762F" w:rsidRDefault="00C3762F" w:rsidP="00ED5855">
      <w:pPr>
        <w:rPr>
          <w:rFonts w:ascii="Arial" w:hAnsi="Arial" w:cs="Arial"/>
          <w:bCs/>
          <w:color w:val="FF0000"/>
          <w:u w:val="single"/>
        </w:rPr>
      </w:pPr>
    </w:p>
    <w:p w14:paraId="19E5339E" w14:textId="04AD1C90" w:rsidR="005B3B64" w:rsidRPr="001B6C2A" w:rsidRDefault="005B3B64" w:rsidP="00ED5855">
      <w:pPr>
        <w:rPr>
          <w:rFonts w:ascii="Arial" w:hAnsi="Arial" w:cs="Arial"/>
          <w:bCs/>
        </w:rPr>
      </w:pPr>
      <w:r w:rsidRPr="001B6C2A">
        <w:rPr>
          <w:rFonts w:ascii="Arial" w:hAnsi="Arial" w:cs="Arial"/>
          <w:bCs/>
        </w:rPr>
        <w:t xml:space="preserve">This enables the UE to avoid attempting to recover on a cell which has already been stopped, </w:t>
      </w:r>
      <w:proofErr w:type="gramStart"/>
      <w:r w:rsidRPr="001B6C2A">
        <w:rPr>
          <w:rFonts w:ascii="Arial" w:hAnsi="Arial" w:cs="Arial"/>
          <w:bCs/>
        </w:rPr>
        <w:t>and also</w:t>
      </w:r>
      <w:proofErr w:type="gramEnd"/>
      <w:r w:rsidRPr="001B6C2A">
        <w:rPr>
          <w:rFonts w:ascii="Arial" w:hAnsi="Arial" w:cs="Arial"/>
          <w:bCs/>
        </w:rPr>
        <w:t xml:space="preserve"> allows the UE to improve recovery time by performing re-establishment, instead of RRC establishment, after the coverage gap. </w:t>
      </w:r>
    </w:p>
    <w:p w14:paraId="58EE2655" w14:textId="77777777" w:rsidR="005B3B64" w:rsidRPr="00FD04F3" w:rsidRDefault="005B3B64" w:rsidP="00ED5855">
      <w:pPr>
        <w:rPr>
          <w:rFonts w:ascii="Arial" w:hAnsi="Arial" w:cs="Arial"/>
          <w:bCs/>
          <w:color w:val="FF0000"/>
          <w:u w:val="single"/>
        </w:rPr>
      </w:pPr>
    </w:p>
    <w:p w14:paraId="77678E83" w14:textId="129A0BFE" w:rsidR="00C3762F" w:rsidRPr="00FD04F3" w:rsidRDefault="00C3762F" w:rsidP="00ED5855">
      <w:pPr>
        <w:rPr>
          <w:rFonts w:ascii="Arial" w:hAnsi="Arial" w:cs="Arial"/>
          <w:b/>
          <w:color w:val="FF0000"/>
          <w:u w:val="single"/>
        </w:rPr>
      </w:pPr>
      <w:r w:rsidRPr="00FD04F3">
        <w:rPr>
          <w:rFonts w:ascii="Arial" w:hAnsi="Arial" w:cs="Arial"/>
          <w:b/>
        </w:rPr>
        <w:t xml:space="preserve">Proposal </w:t>
      </w:r>
      <w:r w:rsidR="005B3B64">
        <w:rPr>
          <w:rFonts w:ascii="Arial" w:hAnsi="Arial" w:cs="Arial"/>
          <w:b/>
        </w:rPr>
        <w:t>2</w:t>
      </w:r>
      <w:r w:rsidRPr="00FD04F3">
        <w:rPr>
          <w:rFonts w:ascii="Arial" w:hAnsi="Arial" w:cs="Arial"/>
          <w:b/>
        </w:rPr>
        <w:t>: For discontinuous coverage:</w:t>
      </w:r>
      <w:r w:rsidRPr="00123E3E">
        <w:rPr>
          <w:rFonts w:ascii="Arial" w:hAnsi="Arial" w:cs="Arial"/>
          <w:b/>
        </w:rPr>
        <w:t xml:space="preserve"> </w:t>
      </w:r>
      <w:r w:rsidRPr="00FD04F3">
        <w:rPr>
          <w:rFonts w:ascii="Arial" w:hAnsi="Arial" w:cs="Arial"/>
          <w:b/>
        </w:rPr>
        <w:t xml:space="preserve">If the serving cell t-service expires, stop T310 (if running), </w:t>
      </w:r>
      <w:r w:rsidR="00086831">
        <w:rPr>
          <w:rFonts w:ascii="Arial" w:hAnsi="Arial" w:cs="Arial"/>
          <w:b/>
        </w:rPr>
        <w:t xml:space="preserve">and </w:t>
      </w:r>
      <w:r w:rsidR="00086831" w:rsidRPr="00086831">
        <w:rPr>
          <w:rFonts w:ascii="Arial" w:hAnsi="Arial" w:cs="Arial"/>
          <w:b/>
        </w:rPr>
        <w:t>suspend connected mode tasks until t-</w:t>
      </w:r>
      <w:proofErr w:type="spellStart"/>
      <w:r w:rsidR="00086831" w:rsidRPr="00086831">
        <w:rPr>
          <w:rFonts w:ascii="Arial" w:hAnsi="Arial" w:cs="Arial"/>
          <w:b/>
        </w:rPr>
        <w:t>ServiceStart</w:t>
      </w:r>
      <w:proofErr w:type="spellEnd"/>
      <w:r w:rsidR="00086831" w:rsidRPr="00086831">
        <w:rPr>
          <w:rFonts w:ascii="Arial" w:hAnsi="Arial" w:cs="Arial"/>
          <w:b/>
        </w:rPr>
        <w:t xml:space="preserve"> of the new cell, then start T311</w:t>
      </w:r>
      <w:r w:rsidR="00101428" w:rsidRPr="00FD04F3">
        <w:rPr>
          <w:rFonts w:ascii="Arial" w:hAnsi="Arial" w:cs="Arial"/>
          <w:b/>
        </w:rPr>
        <w:t>.</w:t>
      </w:r>
    </w:p>
    <w:p w14:paraId="230F7236" w14:textId="424C59A0" w:rsidR="009B36DF" w:rsidRDefault="009B36DF" w:rsidP="00486FBF">
      <w:pPr>
        <w:rPr>
          <w:rFonts w:ascii="Arial" w:hAnsi="Arial" w:cs="Arial"/>
        </w:rPr>
      </w:pPr>
    </w:p>
    <w:p w14:paraId="6CD922B0" w14:textId="39534588" w:rsidR="0011283C" w:rsidRDefault="0011283C" w:rsidP="00486FBF">
      <w:pPr>
        <w:rPr>
          <w:rFonts w:ascii="Arial" w:hAnsi="Arial" w:cs="Arial"/>
        </w:rPr>
      </w:pPr>
      <w:r>
        <w:rPr>
          <w:rFonts w:ascii="Arial" w:hAnsi="Arial" w:cs="Arial"/>
        </w:rPr>
        <w:t xml:space="preserve">The network needs to be able to control </w:t>
      </w:r>
      <w:proofErr w:type="gramStart"/>
      <w:r>
        <w:rPr>
          <w:rFonts w:ascii="Arial" w:hAnsi="Arial" w:cs="Arial"/>
        </w:rPr>
        <w:t>whether or not</w:t>
      </w:r>
      <w:proofErr w:type="gramEnd"/>
      <w:r>
        <w:rPr>
          <w:rFonts w:ascii="Arial" w:hAnsi="Arial" w:cs="Arial"/>
        </w:rPr>
        <w:t xml:space="preserve"> </w:t>
      </w:r>
      <w:r w:rsidR="001012C5">
        <w:rPr>
          <w:rFonts w:ascii="Arial" w:hAnsi="Arial" w:cs="Arial"/>
        </w:rPr>
        <w:t xml:space="preserve">the above procedure is performed. In general, any new behaviour defined in a subsequent release needs to be controlled by the network for various reasons. </w:t>
      </w:r>
      <w:r w:rsidR="002D7907">
        <w:rPr>
          <w:rFonts w:ascii="Arial" w:hAnsi="Arial" w:cs="Arial"/>
        </w:rPr>
        <w:t xml:space="preserve">In this case, one specific example is that sometimes the coverage gap may be short and sometimes it may be long. If the coverage gap is short, then the network may prefer to configure </w:t>
      </w:r>
      <w:r w:rsidR="003D2E16">
        <w:rPr>
          <w:rFonts w:ascii="Arial" w:hAnsi="Arial" w:cs="Arial"/>
        </w:rPr>
        <w:t>this faster RLF/re-establishment procedure. If the coverage gap is long, the network may prefer to rely on legacy RLF, or may wish to use another method to improve mobility</w:t>
      </w:r>
      <w:r w:rsidR="00361714">
        <w:rPr>
          <w:rFonts w:ascii="Arial" w:hAnsi="Arial" w:cs="Arial"/>
        </w:rPr>
        <w:t xml:space="preserve"> </w:t>
      </w:r>
      <w:proofErr w:type="gramStart"/>
      <w:r w:rsidR="00361714">
        <w:rPr>
          <w:rFonts w:ascii="Arial" w:hAnsi="Arial" w:cs="Arial"/>
        </w:rPr>
        <w:t>e.g.</w:t>
      </w:r>
      <w:proofErr w:type="gramEnd"/>
      <w:r w:rsidR="00361714">
        <w:rPr>
          <w:rFonts w:ascii="Arial" w:hAnsi="Arial" w:cs="Arial"/>
        </w:rPr>
        <w:t xml:space="preserve"> allowing the UE to move immediately to RRC_IDLE</w:t>
      </w:r>
      <w:r w:rsidR="003D2E16">
        <w:rPr>
          <w:rFonts w:ascii="Arial" w:hAnsi="Arial" w:cs="Arial"/>
        </w:rPr>
        <w:t xml:space="preserve">. Hence, </w:t>
      </w:r>
      <w:r w:rsidR="001B0C5E">
        <w:rPr>
          <w:rFonts w:ascii="Arial" w:hAnsi="Arial" w:cs="Arial"/>
        </w:rPr>
        <w:t xml:space="preserve">for discontinuous coverage cases, network control is required to enable the UE to perform the enhanced procedures. </w:t>
      </w:r>
    </w:p>
    <w:p w14:paraId="4BC2F599" w14:textId="77777777" w:rsidR="00564E9F" w:rsidRDefault="00564E9F" w:rsidP="00486FBF">
      <w:pPr>
        <w:rPr>
          <w:rFonts w:ascii="Arial" w:hAnsi="Arial" w:cs="Arial"/>
        </w:rPr>
      </w:pPr>
    </w:p>
    <w:p w14:paraId="50DF10E4" w14:textId="79A1B808" w:rsidR="00564E9F" w:rsidRPr="00BD064E" w:rsidRDefault="00564E9F" w:rsidP="00486FBF">
      <w:pPr>
        <w:rPr>
          <w:rFonts w:ascii="Arial" w:hAnsi="Arial" w:cs="Arial"/>
          <w:b/>
          <w:bCs/>
        </w:rPr>
      </w:pPr>
      <w:r w:rsidRPr="00BD064E">
        <w:rPr>
          <w:rFonts w:ascii="Arial" w:hAnsi="Arial" w:cs="Arial"/>
          <w:b/>
          <w:bCs/>
        </w:rPr>
        <w:t>Proposal 3: For discontinuous coverage, the UE performs the fast RLF/re-establishment only if configured by the netw</w:t>
      </w:r>
      <w:r>
        <w:rPr>
          <w:rFonts w:ascii="Arial" w:hAnsi="Arial" w:cs="Arial"/>
          <w:b/>
          <w:bCs/>
        </w:rPr>
        <w:t>or</w:t>
      </w:r>
      <w:r w:rsidRPr="00BD064E">
        <w:rPr>
          <w:rFonts w:ascii="Arial" w:hAnsi="Arial" w:cs="Arial"/>
          <w:b/>
          <w:bCs/>
        </w:rPr>
        <w:t>k.</w:t>
      </w:r>
    </w:p>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659DBA8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3D0123">
        <w:rPr>
          <w:rFonts w:ascii="Arial" w:hAnsi="Arial" w:cs="Arial"/>
          <w:lang w:val="en-US"/>
        </w:rPr>
        <w:t xml:space="preserve">measurements before RLF </w:t>
      </w:r>
      <w:r w:rsidR="00775EE0">
        <w:rPr>
          <w:rFonts w:ascii="Arial" w:hAnsi="Arial" w:cs="Arial"/>
          <w:lang w:val="en-US"/>
        </w:rPr>
        <w:t>for R18 IoT-NTN and have the following proposals</w:t>
      </w:r>
      <w:r w:rsidRPr="00AC3CD2">
        <w:rPr>
          <w:rFonts w:ascii="Arial" w:hAnsi="Arial" w:cs="Arial"/>
          <w:lang w:val="en-US"/>
        </w:rPr>
        <w:t>:</w:t>
      </w:r>
    </w:p>
    <w:p w14:paraId="54608BDE" w14:textId="42BE7FD0" w:rsidR="00775EE0" w:rsidRDefault="00775EE0" w:rsidP="00551638">
      <w:pPr>
        <w:jc w:val="both"/>
        <w:rPr>
          <w:rFonts w:ascii="Arial" w:hAnsi="Arial" w:cs="Arial"/>
          <w:lang w:val="en-US"/>
        </w:rPr>
      </w:pPr>
    </w:p>
    <w:p w14:paraId="213A2B7A" w14:textId="3B05C530" w:rsidR="003321FF" w:rsidRDefault="003321FF" w:rsidP="00551638">
      <w:pPr>
        <w:jc w:val="both"/>
        <w:rPr>
          <w:rFonts w:ascii="Arial" w:eastAsia="Malgun Gothic" w:hAnsi="Arial" w:cs="Arial"/>
          <w:u w:val="single"/>
          <w:lang w:eastAsia="en-GB"/>
        </w:rPr>
      </w:pPr>
      <w:r w:rsidRPr="00674E02">
        <w:rPr>
          <w:rFonts w:ascii="Arial" w:eastAsia="Malgun Gothic" w:hAnsi="Arial" w:cs="Arial"/>
          <w:u w:val="single"/>
          <w:lang w:eastAsia="en-GB"/>
        </w:rPr>
        <w:t xml:space="preserve">For </w:t>
      </w:r>
      <w:r w:rsidR="001152DB">
        <w:rPr>
          <w:rFonts w:ascii="Arial" w:eastAsia="Malgun Gothic" w:hAnsi="Arial" w:cs="Arial"/>
          <w:u w:val="single"/>
          <w:lang w:eastAsia="en-GB"/>
        </w:rPr>
        <w:t>RLF enhancement</w:t>
      </w:r>
      <w:r w:rsidRPr="00674E02">
        <w:rPr>
          <w:rFonts w:ascii="Arial" w:eastAsia="Malgun Gothic" w:hAnsi="Arial" w:cs="Arial"/>
          <w:u w:val="single"/>
          <w:lang w:eastAsia="en-GB"/>
        </w:rPr>
        <w:t>:</w:t>
      </w:r>
    </w:p>
    <w:p w14:paraId="3551A7C0" w14:textId="77777777" w:rsidR="003321FF" w:rsidRPr="00FD04F3" w:rsidRDefault="003321FF" w:rsidP="00551638">
      <w:pPr>
        <w:jc w:val="both"/>
        <w:rPr>
          <w:rFonts w:ascii="Arial" w:hAnsi="Arial" w:cs="Arial"/>
          <w:u w:val="single"/>
          <w:lang w:val="en-US"/>
        </w:rPr>
      </w:pPr>
    </w:p>
    <w:p w14:paraId="3D816695" w14:textId="77777777" w:rsidR="00027021" w:rsidRPr="00CF0293" w:rsidRDefault="00027021" w:rsidP="00027021">
      <w:pPr>
        <w:rPr>
          <w:rFonts w:ascii="Arial" w:hAnsi="Arial" w:cs="Arial"/>
          <w:b/>
          <w:bCs/>
        </w:rPr>
      </w:pPr>
      <w:r w:rsidRPr="00CF0293">
        <w:rPr>
          <w:rFonts w:ascii="Arial" w:hAnsi="Arial" w:cs="Arial"/>
          <w:b/>
          <w:bCs/>
        </w:rPr>
        <w:t xml:space="preserve">Proposal 1: To allow faster RLF recovery after a coverage gap, </w:t>
      </w:r>
      <w:r>
        <w:rPr>
          <w:rFonts w:ascii="Arial" w:hAnsi="Arial" w:cs="Arial"/>
          <w:b/>
          <w:bCs/>
        </w:rPr>
        <w:t xml:space="preserve">fast RLF recovery </w:t>
      </w:r>
      <w:r w:rsidRPr="00CF0293">
        <w:rPr>
          <w:rFonts w:ascii="Arial" w:hAnsi="Arial" w:cs="Arial"/>
          <w:b/>
          <w:bCs/>
        </w:rPr>
        <w:t xml:space="preserve">behaviours agreed for the continuous coverage case should be </w:t>
      </w:r>
      <w:r>
        <w:rPr>
          <w:rFonts w:ascii="Arial" w:hAnsi="Arial" w:cs="Arial"/>
          <w:b/>
          <w:bCs/>
        </w:rPr>
        <w:t>adapted</w:t>
      </w:r>
      <w:r w:rsidRPr="00CF0293">
        <w:rPr>
          <w:rFonts w:ascii="Arial" w:hAnsi="Arial" w:cs="Arial"/>
          <w:b/>
          <w:bCs/>
        </w:rPr>
        <w:t xml:space="preserve"> to </w:t>
      </w:r>
      <w:r>
        <w:rPr>
          <w:rFonts w:ascii="Arial" w:hAnsi="Arial" w:cs="Arial"/>
          <w:b/>
          <w:bCs/>
        </w:rPr>
        <w:t xml:space="preserve">also cover the discontinuous coverage </w:t>
      </w:r>
      <w:r w:rsidRPr="00CF0293">
        <w:rPr>
          <w:rFonts w:ascii="Arial" w:hAnsi="Arial" w:cs="Arial"/>
          <w:b/>
          <w:bCs/>
        </w:rPr>
        <w:t>case.</w:t>
      </w:r>
    </w:p>
    <w:p w14:paraId="1739FC5A" w14:textId="77777777" w:rsidR="005B3B64" w:rsidRDefault="005B3B64" w:rsidP="00101428">
      <w:pPr>
        <w:rPr>
          <w:rFonts w:ascii="Arial" w:hAnsi="Arial" w:cs="Arial"/>
          <w:b/>
        </w:rPr>
      </w:pPr>
    </w:p>
    <w:p w14:paraId="49F5026F" w14:textId="77777777" w:rsidR="00086831" w:rsidRPr="00FD04F3" w:rsidRDefault="00086831" w:rsidP="00086831">
      <w:pPr>
        <w:rPr>
          <w:rFonts w:ascii="Arial" w:hAnsi="Arial" w:cs="Arial"/>
          <w:b/>
          <w:color w:val="FF0000"/>
          <w:u w:val="single"/>
        </w:rPr>
      </w:pPr>
      <w:r w:rsidRPr="00FD04F3">
        <w:rPr>
          <w:rFonts w:ascii="Arial" w:hAnsi="Arial" w:cs="Arial"/>
          <w:b/>
        </w:rPr>
        <w:t xml:space="preserve">Proposal </w:t>
      </w:r>
      <w:r>
        <w:rPr>
          <w:rFonts w:ascii="Arial" w:hAnsi="Arial" w:cs="Arial"/>
          <w:b/>
        </w:rPr>
        <w:t>2</w:t>
      </w:r>
      <w:r w:rsidRPr="00FD04F3">
        <w:rPr>
          <w:rFonts w:ascii="Arial" w:hAnsi="Arial" w:cs="Arial"/>
          <w:b/>
        </w:rPr>
        <w:t>: For discontinuous coverage:</w:t>
      </w:r>
      <w:r w:rsidRPr="00123E3E">
        <w:rPr>
          <w:rFonts w:ascii="Arial" w:hAnsi="Arial" w:cs="Arial"/>
          <w:b/>
        </w:rPr>
        <w:t xml:space="preserve"> </w:t>
      </w:r>
      <w:r w:rsidRPr="00FD04F3">
        <w:rPr>
          <w:rFonts w:ascii="Arial" w:hAnsi="Arial" w:cs="Arial"/>
          <w:b/>
        </w:rPr>
        <w:t xml:space="preserve">If the serving cell t-service expires, stop T310 (if running), </w:t>
      </w:r>
      <w:r>
        <w:rPr>
          <w:rFonts w:ascii="Arial" w:hAnsi="Arial" w:cs="Arial"/>
          <w:b/>
        </w:rPr>
        <w:t xml:space="preserve">and </w:t>
      </w:r>
      <w:r w:rsidRPr="00086831">
        <w:rPr>
          <w:rFonts w:ascii="Arial" w:hAnsi="Arial" w:cs="Arial"/>
          <w:b/>
        </w:rPr>
        <w:t>suspend connected mode tasks until t-</w:t>
      </w:r>
      <w:proofErr w:type="spellStart"/>
      <w:r w:rsidRPr="00086831">
        <w:rPr>
          <w:rFonts w:ascii="Arial" w:hAnsi="Arial" w:cs="Arial"/>
          <w:b/>
        </w:rPr>
        <w:t>ServiceStart</w:t>
      </w:r>
      <w:proofErr w:type="spellEnd"/>
      <w:r w:rsidRPr="00086831">
        <w:rPr>
          <w:rFonts w:ascii="Arial" w:hAnsi="Arial" w:cs="Arial"/>
          <w:b/>
        </w:rPr>
        <w:t xml:space="preserve"> of the new cell, then start T311</w:t>
      </w:r>
      <w:r w:rsidRPr="00FD04F3">
        <w:rPr>
          <w:rFonts w:ascii="Arial" w:hAnsi="Arial" w:cs="Arial"/>
          <w:b/>
        </w:rPr>
        <w:t>.</w:t>
      </w:r>
    </w:p>
    <w:p w14:paraId="3158D255" w14:textId="77777777" w:rsidR="00EA44DF" w:rsidRDefault="00EA44DF" w:rsidP="00EA44DF">
      <w:pPr>
        <w:rPr>
          <w:rFonts w:ascii="Arial" w:hAnsi="Arial" w:cs="Arial"/>
          <w:b/>
          <w:bCs/>
        </w:rPr>
      </w:pPr>
    </w:p>
    <w:p w14:paraId="0DD4EB71" w14:textId="0872A60C" w:rsidR="00EA44DF" w:rsidRPr="00F844E4" w:rsidRDefault="00EA44DF" w:rsidP="00EA44DF">
      <w:pPr>
        <w:rPr>
          <w:rFonts w:ascii="Arial" w:hAnsi="Arial" w:cs="Arial"/>
          <w:b/>
          <w:bCs/>
        </w:rPr>
      </w:pPr>
      <w:r w:rsidRPr="00F844E4">
        <w:rPr>
          <w:rFonts w:ascii="Arial" w:hAnsi="Arial" w:cs="Arial"/>
          <w:b/>
          <w:bCs/>
        </w:rPr>
        <w:t>Proposal 3: For discontinuous coverage, the UE performs the fast RLF/re-establishment only if configured by the netw</w:t>
      </w:r>
      <w:r>
        <w:rPr>
          <w:rFonts w:ascii="Arial" w:hAnsi="Arial" w:cs="Arial"/>
          <w:b/>
          <w:bCs/>
        </w:rPr>
        <w:t>or</w:t>
      </w:r>
      <w:r w:rsidRPr="00F844E4">
        <w:rPr>
          <w:rFonts w:ascii="Arial" w:hAnsi="Arial" w:cs="Arial"/>
          <w:b/>
          <w:bCs/>
        </w:rPr>
        <w:t>k.</w:t>
      </w:r>
    </w:p>
    <w:p w14:paraId="59207CDD" w14:textId="77777777" w:rsidR="00EA44DF" w:rsidRPr="00AC3CD2" w:rsidRDefault="00EA44DF"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0" w:name="_Ref110867306"/>
    <w:p w14:paraId="3B018D6C" w14:textId="00B75619" w:rsidR="00D205BC" w:rsidRPr="00AA311D" w:rsidRDefault="005924EE"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hAnsi="Arial" w:cs="Arial"/>
        </w:rPr>
        <w:fldChar w:fldCharType="begin"/>
      </w:r>
      <w:r>
        <w:rPr>
          <w:rFonts w:ascii="Arial" w:hAnsi="Arial" w:cs="Arial"/>
        </w:rPr>
        <w:instrText>HYPERLINK "https://www.3gpp.org/ftp/TSG_RAN/TSG_RAN/TSGR_98e/Docs/RP-223519.zip"</w:instrText>
      </w:r>
      <w:r>
        <w:rPr>
          <w:rFonts w:ascii="Arial" w:hAnsi="Arial" w:cs="Arial"/>
        </w:rPr>
      </w:r>
      <w:r>
        <w:rPr>
          <w:rFonts w:ascii="Arial" w:hAnsi="Arial" w:cs="Arial"/>
        </w:rPr>
        <w:fldChar w:fldCharType="separate"/>
      </w:r>
      <w:r>
        <w:rPr>
          <w:rStyle w:val="Hyperlink"/>
          <w:rFonts w:ascii="Arial" w:hAnsi="Arial" w:cs="Arial"/>
        </w:rPr>
        <w:t>RP-223519</w:t>
      </w:r>
      <w:r>
        <w:rPr>
          <w:rFonts w:ascii="Arial" w:hAnsi="Arial" w:cs="Arial"/>
        </w:rPr>
        <w:fldChar w:fldCharType="end"/>
      </w:r>
      <w:r w:rsidR="003F50DD"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0"/>
    </w:p>
    <w:bookmarkStart w:id="1" w:name="_Ref142395439"/>
    <w:bookmarkStart w:id="2" w:name="_Ref118350373"/>
    <w:p w14:paraId="731ACF15" w14:textId="2E0F654F" w:rsidR="00F4087D" w:rsidRDefault="00F4087D" w:rsidP="00F4087D">
      <w:pPr>
        <w:pStyle w:val="Doc-text2"/>
        <w:numPr>
          <w:ilvl w:val="0"/>
          <w:numId w:val="12"/>
        </w:numPr>
      </w:pPr>
      <w:r>
        <w:fldChar w:fldCharType="begin"/>
      </w:r>
      <w:r>
        <w:instrText>HYPERLINK "https://www.3gpp.org/ftp/tsg_ran/WG2_RL2/TSGR2_122/Docs/R2-2306665.zip"</w:instrText>
      </w:r>
      <w:r>
        <w:fldChar w:fldCharType="separate"/>
      </w:r>
      <w:r w:rsidRPr="00E63667">
        <w:rPr>
          <w:rStyle w:val="Hyperlink"/>
        </w:rPr>
        <w:t>R2-2306665</w:t>
      </w:r>
      <w:r>
        <w:rPr>
          <w:rStyle w:val="Hyperlink"/>
        </w:rPr>
        <w:fldChar w:fldCharType="end"/>
      </w:r>
      <w:r>
        <w:tab/>
        <w:t>[offline-113</w:t>
      </w:r>
      <w:r w:rsidRPr="007418EC">
        <w:t xml:space="preserve">] </w:t>
      </w:r>
      <w:r>
        <w:t>Measurements before RLF</w:t>
      </w:r>
      <w:r>
        <w:tab/>
        <w:t>Interdigital</w:t>
      </w:r>
      <w:bookmarkEnd w:id="1"/>
    </w:p>
    <w:bookmarkStart w:id="3" w:name="_Ref142395447"/>
    <w:p w14:paraId="29916AD7" w14:textId="1C74181B" w:rsidR="00F4087D" w:rsidRDefault="00F4087D" w:rsidP="00F4087D">
      <w:pPr>
        <w:pStyle w:val="Doc-text2"/>
        <w:numPr>
          <w:ilvl w:val="0"/>
          <w:numId w:val="12"/>
        </w:numPr>
      </w:pPr>
      <w:r>
        <w:fldChar w:fldCharType="begin"/>
      </w:r>
      <w:r>
        <w:instrText>HYPERLINK "https://www.3gpp.org/ftp/tsg_ran/WG2_RL2/TSGR2_122/Docs/R2-2306486.zip"</w:instrText>
      </w:r>
      <w:r>
        <w:fldChar w:fldCharType="separate"/>
      </w:r>
      <w:r w:rsidRPr="00F66D1A">
        <w:rPr>
          <w:rStyle w:val="Hyperlink"/>
        </w:rPr>
        <w:t>R2-2306486</w:t>
      </w:r>
      <w:r>
        <w:rPr>
          <w:rStyle w:val="Hyperlink"/>
        </w:rPr>
        <w:fldChar w:fldCharType="end"/>
      </w:r>
      <w:r>
        <w:tab/>
        <w:t>On IoT NTN CHO and other mobility enhancements</w:t>
      </w:r>
      <w:r>
        <w:tab/>
        <w:t>Samsung</w:t>
      </w:r>
      <w:bookmarkEnd w:id="3"/>
    </w:p>
    <w:p w14:paraId="7E6776DB" w14:textId="29F057E6" w:rsidR="001152DB" w:rsidRDefault="001152DB" w:rsidP="00F4087D">
      <w:pPr>
        <w:pStyle w:val="Doc-text2"/>
        <w:numPr>
          <w:ilvl w:val="0"/>
          <w:numId w:val="12"/>
        </w:numPr>
      </w:pPr>
      <w:bookmarkStart w:id="4" w:name="_Ref142410517"/>
      <w:r w:rsidRPr="001152DB">
        <w:t>Report of [Post122][</w:t>
      </w:r>
      <w:proofErr w:type="gramStart"/>
      <w:r w:rsidRPr="001152DB">
        <w:t>112][</w:t>
      </w:r>
      <w:proofErr w:type="gramEnd"/>
      <w:r w:rsidRPr="001152DB">
        <w:t xml:space="preserve">IoT NTN </w:t>
      </w:r>
      <w:proofErr w:type="spellStart"/>
      <w:r w:rsidRPr="001152DB">
        <w:t>Enh</w:t>
      </w:r>
      <w:proofErr w:type="spellEnd"/>
      <w:r w:rsidRPr="001152DB">
        <w:t>] Mobility enhancements</w:t>
      </w:r>
      <w:r>
        <w:t xml:space="preserve">, </w:t>
      </w:r>
      <w:proofErr w:type="spellStart"/>
      <w:r>
        <w:t>Mediatek</w:t>
      </w:r>
      <w:bookmarkEnd w:id="4"/>
      <w:proofErr w:type="spellEnd"/>
    </w:p>
    <w:bookmarkEnd w:id="2"/>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31"/>
  </w:num>
  <w:num w:numId="2" w16cid:durableId="1822573651">
    <w:abstractNumId w:val="11"/>
  </w:num>
  <w:num w:numId="3" w16cid:durableId="1293515717">
    <w:abstractNumId w:val="8"/>
  </w:num>
  <w:num w:numId="4" w16cid:durableId="1859391698">
    <w:abstractNumId w:val="24"/>
  </w:num>
  <w:num w:numId="5" w16cid:durableId="642084593">
    <w:abstractNumId w:val="0"/>
  </w:num>
  <w:num w:numId="6" w16cid:durableId="224075879">
    <w:abstractNumId w:val="0"/>
  </w:num>
  <w:num w:numId="7" w16cid:durableId="1432315274">
    <w:abstractNumId w:val="25"/>
  </w:num>
  <w:num w:numId="8" w16cid:durableId="550461415">
    <w:abstractNumId w:val="16"/>
  </w:num>
  <w:num w:numId="9" w16cid:durableId="2113240567">
    <w:abstractNumId w:val="24"/>
  </w:num>
  <w:num w:numId="10" w16cid:durableId="319046138">
    <w:abstractNumId w:val="30"/>
  </w:num>
  <w:num w:numId="11" w16cid:durableId="989089676">
    <w:abstractNumId w:val="21"/>
  </w:num>
  <w:num w:numId="12" w16cid:durableId="3017690">
    <w:abstractNumId w:val="5"/>
  </w:num>
  <w:num w:numId="13" w16cid:durableId="1136416161">
    <w:abstractNumId w:val="10"/>
  </w:num>
  <w:num w:numId="14" w16cid:durableId="1598631832">
    <w:abstractNumId w:val="6"/>
  </w:num>
  <w:num w:numId="15" w16cid:durableId="1873760530">
    <w:abstractNumId w:val="15"/>
  </w:num>
  <w:num w:numId="16" w16cid:durableId="1043483843">
    <w:abstractNumId w:val="3"/>
  </w:num>
  <w:num w:numId="17" w16cid:durableId="2081756601">
    <w:abstractNumId w:val="23"/>
  </w:num>
  <w:num w:numId="18" w16cid:durableId="405349453">
    <w:abstractNumId w:val="1"/>
  </w:num>
  <w:num w:numId="19" w16cid:durableId="1503083248">
    <w:abstractNumId w:val="28"/>
  </w:num>
  <w:num w:numId="20" w16cid:durableId="1899658392">
    <w:abstractNumId w:val="27"/>
  </w:num>
  <w:num w:numId="21" w16cid:durableId="880744961">
    <w:abstractNumId w:val="17"/>
  </w:num>
  <w:num w:numId="22" w16cid:durableId="1932346878">
    <w:abstractNumId w:val="14"/>
  </w:num>
  <w:num w:numId="23" w16cid:durableId="1922060479">
    <w:abstractNumId w:val="19"/>
  </w:num>
  <w:num w:numId="24" w16cid:durableId="695473169">
    <w:abstractNumId w:val="32"/>
  </w:num>
  <w:num w:numId="25" w16cid:durableId="1334406846">
    <w:abstractNumId w:val="2"/>
  </w:num>
  <w:num w:numId="26" w16cid:durableId="2089959535">
    <w:abstractNumId w:val="13"/>
  </w:num>
  <w:num w:numId="27" w16cid:durableId="665208204">
    <w:abstractNumId w:val="18"/>
  </w:num>
  <w:num w:numId="28" w16cid:durableId="1713311196">
    <w:abstractNumId w:val="26"/>
  </w:num>
  <w:num w:numId="29" w16cid:durableId="68775690">
    <w:abstractNumId w:val="12"/>
  </w:num>
  <w:num w:numId="30" w16cid:durableId="1036614217">
    <w:abstractNumId w:val="20"/>
  </w:num>
  <w:num w:numId="31" w16cid:durableId="276762328">
    <w:abstractNumId w:val="29"/>
  </w:num>
  <w:num w:numId="32" w16cid:durableId="1373967297">
    <w:abstractNumId w:val="22"/>
  </w:num>
  <w:num w:numId="33" w16cid:durableId="1975990127">
    <w:abstractNumId w:val="9"/>
  </w:num>
  <w:num w:numId="34" w16cid:durableId="438528904">
    <w:abstractNumId w:val="4"/>
  </w:num>
  <w:num w:numId="35" w16cid:durableId="639958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021"/>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9F7"/>
    <w:rsid w:val="00065E19"/>
    <w:rsid w:val="00066ACC"/>
    <w:rsid w:val="0006781B"/>
    <w:rsid w:val="00071278"/>
    <w:rsid w:val="000746E2"/>
    <w:rsid w:val="000768DF"/>
    <w:rsid w:val="000770C6"/>
    <w:rsid w:val="000778B1"/>
    <w:rsid w:val="0008007A"/>
    <w:rsid w:val="00084E00"/>
    <w:rsid w:val="00086831"/>
    <w:rsid w:val="000912CC"/>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1CEB"/>
    <w:rsid w:val="000C2824"/>
    <w:rsid w:val="000C3A07"/>
    <w:rsid w:val="000C66F4"/>
    <w:rsid w:val="000C686C"/>
    <w:rsid w:val="000D34BB"/>
    <w:rsid w:val="000D5BC5"/>
    <w:rsid w:val="000D69AB"/>
    <w:rsid w:val="000D7976"/>
    <w:rsid w:val="000E04BC"/>
    <w:rsid w:val="000E2AD0"/>
    <w:rsid w:val="000E2C2B"/>
    <w:rsid w:val="000E4537"/>
    <w:rsid w:val="000E4E9C"/>
    <w:rsid w:val="000E502C"/>
    <w:rsid w:val="000E7C3D"/>
    <w:rsid w:val="000F02CA"/>
    <w:rsid w:val="000F057A"/>
    <w:rsid w:val="000F0F99"/>
    <w:rsid w:val="000F2A63"/>
    <w:rsid w:val="000F52F1"/>
    <w:rsid w:val="001012C5"/>
    <w:rsid w:val="00101428"/>
    <w:rsid w:val="0010261C"/>
    <w:rsid w:val="0011068A"/>
    <w:rsid w:val="001123B7"/>
    <w:rsid w:val="0011283C"/>
    <w:rsid w:val="00114B5E"/>
    <w:rsid w:val="001152DB"/>
    <w:rsid w:val="001157D4"/>
    <w:rsid w:val="00116140"/>
    <w:rsid w:val="00121A61"/>
    <w:rsid w:val="00121AA8"/>
    <w:rsid w:val="001229EA"/>
    <w:rsid w:val="00122B31"/>
    <w:rsid w:val="00122FB9"/>
    <w:rsid w:val="00123E3E"/>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05F3"/>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18A5"/>
    <w:rsid w:val="00182416"/>
    <w:rsid w:val="00183A09"/>
    <w:rsid w:val="00184048"/>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0C5E"/>
    <w:rsid w:val="001B35CF"/>
    <w:rsid w:val="001B56B4"/>
    <w:rsid w:val="001B6C2A"/>
    <w:rsid w:val="001B7267"/>
    <w:rsid w:val="001B7941"/>
    <w:rsid w:val="001C09B3"/>
    <w:rsid w:val="001C0B81"/>
    <w:rsid w:val="001C1B2E"/>
    <w:rsid w:val="001C2F46"/>
    <w:rsid w:val="001C6C22"/>
    <w:rsid w:val="001C7317"/>
    <w:rsid w:val="001C78C6"/>
    <w:rsid w:val="001C7C26"/>
    <w:rsid w:val="001D4480"/>
    <w:rsid w:val="001D55C2"/>
    <w:rsid w:val="001D7716"/>
    <w:rsid w:val="001D7D4B"/>
    <w:rsid w:val="001E1CAD"/>
    <w:rsid w:val="001E5949"/>
    <w:rsid w:val="001E6B10"/>
    <w:rsid w:val="001F34C0"/>
    <w:rsid w:val="001F5EAA"/>
    <w:rsid w:val="00201FC1"/>
    <w:rsid w:val="0020218F"/>
    <w:rsid w:val="00203372"/>
    <w:rsid w:val="00204C01"/>
    <w:rsid w:val="0020781F"/>
    <w:rsid w:val="00210486"/>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907"/>
    <w:rsid w:val="002D7D5D"/>
    <w:rsid w:val="002E0048"/>
    <w:rsid w:val="002E1978"/>
    <w:rsid w:val="002E3BFD"/>
    <w:rsid w:val="002E56B1"/>
    <w:rsid w:val="002E7822"/>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4A40"/>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48AD"/>
    <w:rsid w:val="003349E9"/>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1714"/>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47CA"/>
    <w:rsid w:val="003B47E5"/>
    <w:rsid w:val="003B5F3F"/>
    <w:rsid w:val="003B611F"/>
    <w:rsid w:val="003B7D65"/>
    <w:rsid w:val="003C1231"/>
    <w:rsid w:val="003C14E7"/>
    <w:rsid w:val="003C177B"/>
    <w:rsid w:val="003C1FB8"/>
    <w:rsid w:val="003C26B1"/>
    <w:rsid w:val="003C29F8"/>
    <w:rsid w:val="003C2F91"/>
    <w:rsid w:val="003C3095"/>
    <w:rsid w:val="003C5610"/>
    <w:rsid w:val="003C598A"/>
    <w:rsid w:val="003C69F1"/>
    <w:rsid w:val="003D0058"/>
    <w:rsid w:val="003D0123"/>
    <w:rsid w:val="003D0DB2"/>
    <w:rsid w:val="003D11F4"/>
    <w:rsid w:val="003D2B95"/>
    <w:rsid w:val="003D2E16"/>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00BE"/>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1C61"/>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4E9F"/>
    <w:rsid w:val="00565CB6"/>
    <w:rsid w:val="00570A68"/>
    <w:rsid w:val="00572BDA"/>
    <w:rsid w:val="005736CD"/>
    <w:rsid w:val="00574590"/>
    <w:rsid w:val="005801CD"/>
    <w:rsid w:val="005807CB"/>
    <w:rsid w:val="00582DD2"/>
    <w:rsid w:val="00583FAC"/>
    <w:rsid w:val="0058503E"/>
    <w:rsid w:val="00586589"/>
    <w:rsid w:val="00586C80"/>
    <w:rsid w:val="00592319"/>
    <w:rsid w:val="005924EE"/>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6168"/>
    <w:rsid w:val="005E7166"/>
    <w:rsid w:val="005E7480"/>
    <w:rsid w:val="005E7BF1"/>
    <w:rsid w:val="005F0D19"/>
    <w:rsid w:val="005F0E39"/>
    <w:rsid w:val="005F1BAA"/>
    <w:rsid w:val="005F57EA"/>
    <w:rsid w:val="005F583F"/>
    <w:rsid w:val="0060248C"/>
    <w:rsid w:val="00602B33"/>
    <w:rsid w:val="0060341F"/>
    <w:rsid w:val="00610B8A"/>
    <w:rsid w:val="0061200D"/>
    <w:rsid w:val="006136F6"/>
    <w:rsid w:val="00614192"/>
    <w:rsid w:val="006223D4"/>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4E02"/>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A76E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16EF2"/>
    <w:rsid w:val="00721F42"/>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10DD"/>
    <w:rsid w:val="007860F8"/>
    <w:rsid w:val="00786685"/>
    <w:rsid w:val="00786CFC"/>
    <w:rsid w:val="007872D1"/>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21"/>
    <w:rsid w:val="007E6B31"/>
    <w:rsid w:val="007F17FC"/>
    <w:rsid w:val="007F3459"/>
    <w:rsid w:val="007F45BD"/>
    <w:rsid w:val="008009D7"/>
    <w:rsid w:val="00801F25"/>
    <w:rsid w:val="00804027"/>
    <w:rsid w:val="00804CA7"/>
    <w:rsid w:val="00804CD9"/>
    <w:rsid w:val="00810140"/>
    <w:rsid w:val="0081064F"/>
    <w:rsid w:val="0081079D"/>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0454"/>
    <w:rsid w:val="00886B68"/>
    <w:rsid w:val="00887BBC"/>
    <w:rsid w:val="0089238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12D1C"/>
    <w:rsid w:val="00913B0C"/>
    <w:rsid w:val="009154EE"/>
    <w:rsid w:val="009163DF"/>
    <w:rsid w:val="009203F3"/>
    <w:rsid w:val="00920751"/>
    <w:rsid w:val="00920B33"/>
    <w:rsid w:val="009233E7"/>
    <w:rsid w:val="00923A85"/>
    <w:rsid w:val="00925B19"/>
    <w:rsid w:val="00926C43"/>
    <w:rsid w:val="009270B4"/>
    <w:rsid w:val="00927999"/>
    <w:rsid w:val="00930000"/>
    <w:rsid w:val="00930D22"/>
    <w:rsid w:val="00932021"/>
    <w:rsid w:val="0093396F"/>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0EE"/>
    <w:rsid w:val="0097311E"/>
    <w:rsid w:val="00977436"/>
    <w:rsid w:val="00983D92"/>
    <w:rsid w:val="00986837"/>
    <w:rsid w:val="0098684D"/>
    <w:rsid w:val="00986D62"/>
    <w:rsid w:val="0098714B"/>
    <w:rsid w:val="0098743D"/>
    <w:rsid w:val="0098757A"/>
    <w:rsid w:val="00987B13"/>
    <w:rsid w:val="00991BA2"/>
    <w:rsid w:val="0099483B"/>
    <w:rsid w:val="00995011"/>
    <w:rsid w:val="009955DE"/>
    <w:rsid w:val="0099583D"/>
    <w:rsid w:val="0099611F"/>
    <w:rsid w:val="00997FA3"/>
    <w:rsid w:val="009A02D0"/>
    <w:rsid w:val="009A1D31"/>
    <w:rsid w:val="009A50D5"/>
    <w:rsid w:val="009A52B0"/>
    <w:rsid w:val="009A6C62"/>
    <w:rsid w:val="009B36DF"/>
    <w:rsid w:val="009B45DC"/>
    <w:rsid w:val="009B4DFB"/>
    <w:rsid w:val="009B528A"/>
    <w:rsid w:val="009C195C"/>
    <w:rsid w:val="009C2989"/>
    <w:rsid w:val="009C3228"/>
    <w:rsid w:val="009C73DD"/>
    <w:rsid w:val="009D1BE3"/>
    <w:rsid w:val="009D445D"/>
    <w:rsid w:val="009D6C88"/>
    <w:rsid w:val="009D6E71"/>
    <w:rsid w:val="009E2FCC"/>
    <w:rsid w:val="009F1CEC"/>
    <w:rsid w:val="009F33EE"/>
    <w:rsid w:val="009F6166"/>
    <w:rsid w:val="00A003A5"/>
    <w:rsid w:val="00A0526D"/>
    <w:rsid w:val="00A10358"/>
    <w:rsid w:val="00A16A31"/>
    <w:rsid w:val="00A1775D"/>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45B9"/>
    <w:rsid w:val="00A56BD9"/>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4C78"/>
    <w:rsid w:val="00A950D4"/>
    <w:rsid w:val="00A9648D"/>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8A"/>
    <w:rsid w:val="00AE4C9E"/>
    <w:rsid w:val="00AE4CEE"/>
    <w:rsid w:val="00AE510A"/>
    <w:rsid w:val="00AE59C7"/>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A0A"/>
    <w:rsid w:val="00B1497C"/>
    <w:rsid w:val="00B14E1E"/>
    <w:rsid w:val="00B16728"/>
    <w:rsid w:val="00B2050B"/>
    <w:rsid w:val="00B21487"/>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6363"/>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064E"/>
    <w:rsid w:val="00BD44AD"/>
    <w:rsid w:val="00BD605B"/>
    <w:rsid w:val="00BE1D59"/>
    <w:rsid w:val="00BE2156"/>
    <w:rsid w:val="00BE3740"/>
    <w:rsid w:val="00BE48AD"/>
    <w:rsid w:val="00BE5222"/>
    <w:rsid w:val="00BE5FFF"/>
    <w:rsid w:val="00BE630C"/>
    <w:rsid w:val="00BF1F99"/>
    <w:rsid w:val="00BF27AD"/>
    <w:rsid w:val="00BF2958"/>
    <w:rsid w:val="00BF70FC"/>
    <w:rsid w:val="00BF77E9"/>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5F9C"/>
    <w:rsid w:val="00C26659"/>
    <w:rsid w:val="00C336AF"/>
    <w:rsid w:val="00C33B80"/>
    <w:rsid w:val="00C34287"/>
    <w:rsid w:val="00C35924"/>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3EA6"/>
    <w:rsid w:val="00C6417A"/>
    <w:rsid w:val="00C64244"/>
    <w:rsid w:val="00C70C40"/>
    <w:rsid w:val="00C71748"/>
    <w:rsid w:val="00C721C3"/>
    <w:rsid w:val="00C7242C"/>
    <w:rsid w:val="00C74089"/>
    <w:rsid w:val="00C741C7"/>
    <w:rsid w:val="00C75B4B"/>
    <w:rsid w:val="00C763DC"/>
    <w:rsid w:val="00C77D03"/>
    <w:rsid w:val="00C77ECA"/>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3E4"/>
    <w:rsid w:val="00CB466E"/>
    <w:rsid w:val="00CB5BF9"/>
    <w:rsid w:val="00CB7002"/>
    <w:rsid w:val="00CB79FB"/>
    <w:rsid w:val="00CB7DEE"/>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1493"/>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457B"/>
    <w:rsid w:val="00D55F5C"/>
    <w:rsid w:val="00D61D2E"/>
    <w:rsid w:val="00D6353B"/>
    <w:rsid w:val="00D63FE6"/>
    <w:rsid w:val="00D6703E"/>
    <w:rsid w:val="00D67AD7"/>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A2326"/>
    <w:rsid w:val="00DA3F61"/>
    <w:rsid w:val="00DA62B0"/>
    <w:rsid w:val="00DB25D6"/>
    <w:rsid w:val="00DB3859"/>
    <w:rsid w:val="00DB4E16"/>
    <w:rsid w:val="00DB5E03"/>
    <w:rsid w:val="00DB6079"/>
    <w:rsid w:val="00DB6370"/>
    <w:rsid w:val="00DB66D9"/>
    <w:rsid w:val="00DB73D0"/>
    <w:rsid w:val="00DB7874"/>
    <w:rsid w:val="00DC0AF9"/>
    <w:rsid w:val="00DC1200"/>
    <w:rsid w:val="00DC486D"/>
    <w:rsid w:val="00DC6CE0"/>
    <w:rsid w:val="00DD14FF"/>
    <w:rsid w:val="00DD5008"/>
    <w:rsid w:val="00DD7CEB"/>
    <w:rsid w:val="00DE7728"/>
    <w:rsid w:val="00DF4E75"/>
    <w:rsid w:val="00DF5558"/>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29AC"/>
    <w:rsid w:val="00E230A0"/>
    <w:rsid w:val="00E23939"/>
    <w:rsid w:val="00E33E89"/>
    <w:rsid w:val="00E36674"/>
    <w:rsid w:val="00E3699F"/>
    <w:rsid w:val="00E404B6"/>
    <w:rsid w:val="00E446A3"/>
    <w:rsid w:val="00E456D8"/>
    <w:rsid w:val="00E464D0"/>
    <w:rsid w:val="00E51896"/>
    <w:rsid w:val="00E52AA9"/>
    <w:rsid w:val="00E55AE9"/>
    <w:rsid w:val="00E56641"/>
    <w:rsid w:val="00E56BFD"/>
    <w:rsid w:val="00E57B33"/>
    <w:rsid w:val="00E608CF"/>
    <w:rsid w:val="00E623FC"/>
    <w:rsid w:val="00E63278"/>
    <w:rsid w:val="00E64A97"/>
    <w:rsid w:val="00E66F64"/>
    <w:rsid w:val="00E67459"/>
    <w:rsid w:val="00E711EA"/>
    <w:rsid w:val="00E74724"/>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7A9"/>
    <w:rsid w:val="00E94CE1"/>
    <w:rsid w:val="00E96043"/>
    <w:rsid w:val="00EA031B"/>
    <w:rsid w:val="00EA181C"/>
    <w:rsid w:val="00EA212A"/>
    <w:rsid w:val="00EA2BBC"/>
    <w:rsid w:val="00EA3297"/>
    <w:rsid w:val="00EA3BAC"/>
    <w:rsid w:val="00EA44DF"/>
    <w:rsid w:val="00EA5314"/>
    <w:rsid w:val="00EA5FAF"/>
    <w:rsid w:val="00EB19B1"/>
    <w:rsid w:val="00EB2B91"/>
    <w:rsid w:val="00EB2CC4"/>
    <w:rsid w:val="00EB3EF4"/>
    <w:rsid w:val="00EB4330"/>
    <w:rsid w:val="00EB4649"/>
    <w:rsid w:val="00EB62E5"/>
    <w:rsid w:val="00EB784C"/>
    <w:rsid w:val="00EC25EB"/>
    <w:rsid w:val="00EC3404"/>
    <w:rsid w:val="00EC4862"/>
    <w:rsid w:val="00EC4DB8"/>
    <w:rsid w:val="00EC735A"/>
    <w:rsid w:val="00ED079C"/>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B14"/>
    <w:rsid w:val="00EF2AE9"/>
    <w:rsid w:val="00EF3ABC"/>
    <w:rsid w:val="00EF40CC"/>
    <w:rsid w:val="00EF57B2"/>
    <w:rsid w:val="00F00098"/>
    <w:rsid w:val="00F01141"/>
    <w:rsid w:val="00F041FC"/>
    <w:rsid w:val="00F0502C"/>
    <w:rsid w:val="00F051EC"/>
    <w:rsid w:val="00F05F69"/>
    <w:rsid w:val="00F072A0"/>
    <w:rsid w:val="00F078DF"/>
    <w:rsid w:val="00F07A8D"/>
    <w:rsid w:val="00F07E6A"/>
    <w:rsid w:val="00F103FE"/>
    <w:rsid w:val="00F12605"/>
    <w:rsid w:val="00F137D4"/>
    <w:rsid w:val="00F14DA5"/>
    <w:rsid w:val="00F20B46"/>
    <w:rsid w:val="00F20EB1"/>
    <w:rsid w:val="00F21F10"/>
    <w:rsid w:val="00F231DA"/>
    <w:rsid w:val="00F248E0"/>
    <w:rsid w:val="00F24AAC"/>
    <w:rsid w:val="00F266FC"/>
    <w:rsid w:val="00F2676F"/>
    <w:rsid w:val="00F30326"/>
    <w:rsid w:val="00F30A37"/>
    <w:rsid w:val="00F32C41"/>
    <w:rsid w:val="00F331EF"/>
    <w:rsid w:val="00F33C7C"/>
    <w:rsid w:val="00F4087D"/>
    <w:rsid w:val="00F4220A"/>
    <w:rsid w:val="00F4362C"/>
    <w:rsid w:val="00F43633"/>
    <w:rsid w:val="00F437C5"/>
    <w:rsid w:val="00F46CB4"/>
    <w:rsid w:val="00F46D43"/>
    <w:rsid w:val="00F47602"/>
    <w:rsid w:val="00F509E1"/>
    <w:rsid w:val="00F518B4"/>
    <w:rsid w:val="00F52EF5"/>
    <w:rsid w:val="00F5418E"/>
    <w:rsid w:val="00F546B2"/>
    <w:rsid w:val="00F55671"/>
    <w:rsid w:val="00F5581E"/>
    <w:rsid w:val="00F579FA"/>
    <w:rsid w:val="00F60492"/>
    <w:rsid w:val="00F60ED0"/>
    <w:rsid w:val="00F61CC2"/>
    <w:rsid w:val="00F65E70"/>
    <w:rsid w:val="00F66FEE"/>
    <w:rsid w:val="00F67B71"/>
    <w:rsid w:val="00F72096"/>
    <w:rsid w:val="00F76F70"/>
    <w:rsid w:val="00F80227"/>
    <w:rsid w:val="00F802F6"/>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04F3"/>
    <w:rsid w:val="00FD5C76"/>
    <w:rsid w:val="00FE0359"/>
    <w:rsid w:val="00FE1385"/>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e32f50e1-6846-4d7d-ad60-ccd6877e6c5e"/>
    <ds:schemaRef ds:uri="http://schemas.microsoft.com/office/2006/metadata/properties"/>
    <ds:schemaRef ds:uri="http://purl.org/dc/dcmitype/"/>
    <ds:schemaRef ds:uri="23a22248-acb0-4303-bd1b-c36b2527d0a2"/>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sharepoint/v4"/>
    <ds:schemaRef ds:uri="5a888943-97ca-4c93-b605-714bb5e9e285"/>
    <ds:schemaRef ds:uri="http://www.w3.org/XML/1998/namespace"/>
  </ds:schemaRefs>
</ds:datastoreItem>
</file>

<file path=customXml/itemProps3.xml><?xml version="1.0" encoding="utf-8"?>
<ds:datastoreItem xmlns:ds="http://schemas.openxmlformats.org/officeDocument/2006/customXml" ds:itemID="{917C907D-8A62-43C9-B6B4-D19098A80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17</cp:revision>
  <dcterms:created xsi:type="dcterms:W3CDTF">2023-09-28T13:18:00Z</dcterms:created>
  <dcterms:modified xsi:type="dcterms:W3CDTF">2023-11-02T22:56:00Z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